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77DB9" w14:textId="0EFA804A" w:rsidR="00161838" w:rsidRPr="001C6CAB" w:rsidRDefault="00161838" w:rsidP="00B929BB">
      <w:pPr>
        <w:spacing w:after="0"/>
        <w:jc w:val="center"/>
        <w:rPr>
          <w:rFonts w:ascii="Verdana" w:hAnsi="Verdana"/>
          <w:b/>
          <w:bCs/>
          <w:sz w:val="20"/>
          <w:szCs w:val="20"/>
        </w:rPr>
      </w:pPr>
      <w:r w:rsidRPr="001C6CAB">
        <w:rPr>
          <w:rFonts w:ascii="Verdana" w:hAnsi="Verdana"/>
          <w:b/>
          <w:bCs/>
          <w:sz w:val="20"/>
          <w:szCs w:val="20"/>
        </w:rPr>
        <w:t>PARTE 1</w:t>
      </w:r>
    </w:p>
    <w:p w14:paraId="180EF4DB" w14:textId="77777777" w:rsidR="00161838" w:rsidRPr="001C6CAB" w:rsidRDefault="00161838" w:rsidP="00B929BB">
      <w:pPr>
        <w:spacing w:after="0"/>
        <w:jc w:val="center"/>
        <w:rPr>
          <w:rFonts w:ascii="Verdana" w:hAnsi="Verdana"/>
          <w:b/>
          <w:bCs/>
          <w:sz w:val="20"/>
          <w:szCs w:val="20"/>
        </w:rPr>
      </w:pPr>
      <w:r w:rsidRPr="001C6CAB">
        <w:rPr>
          <w:rFonts w:ascii="Verdana" w:hAnsi="Verdana"/>
          <w:b/>
          <w:bCs/>
          <w:sz w:val="20"/>
          <w:szCs w:val="20"/>
        </w:rPr>
        <w:t>ADMINISTRACIÓN DE RIESGOS</w:t>
      </w:r>
    </w:p>
    <w:p w14:paraId="10D43673" w14:textId="77777777" w:rsidR="00161838" w:rsidRPr="001C6CAB" w:rsidRDefault="00161838" w:rsidP="00B929BB">
      <w:pPr>
        <w:spacing w:after="0"/>
        <w:jc w:val="center"/>
        <w:rPr>
          <w:rFonts w:ascii="Verdana" w:hAnsi="Verdana"/>
          <w:b/>
          <w:bCs/>
          <w:sz w:val="20"/>
          <w:szCs w:val="20"/>
        </w:rPr>
      </w:pPr>
    </w:p>
    <w:p w14:paraId="383998CB" w14:textId="77777777" w:rsidR="00161838" w:rsidRPr="001C6CAB" w:rsidRDefault="00161838" w:rsidP="00B929BB">
      <w:pPr>
        <w:spacing w:after="0"/>
        <w:jc w:val="center"/>
        <w:rPr>
          <w:rFonts w:ascii="Verdana" w:hAnsi="Verdana"/>
          <w:b/>
          <w:bCs/>
          <w:sz w:val="20"/>
          <w:szCs w:val="20"/>
        </w:rPr>
      </w:pPr>
      <w:r w:rsidRPr="001C6CAB">
        <w:rPr>
          <w:rFonts w:ascii="Verdana" w:hAnsi="Verdana"/>
          <w:b/>
          <w:bCs/>
          <w:sz w:val="20"/>
          <w:szCs w:val="20"/>
        </w:rPr>
        <w:t>CAPÍTULO 1</w:t>
      </w:r>
    </w:p>
    <w:p w14:paraId="14A7745F" w14:textId="77777777" w:rsidR="00161838" w:rsidRPr="001C6CAB" w:rsidRDefault="00161838" w:rsidP="00B929BB">
      <w:pPr>
        <w:spacing w:after="0"/>
        <w:jc w:val="center"/>
        <w:rPr>
          <w:rFonts w:ascii="Verdana" w:hAnsi="Verdana"/>
          <w:b/>
          <w:bCs/>
          <w:sz w:val="20"/>
          <w:szCs w:val="20"/>
        </w:rPr>
      </w:pPr>
      <w:r w:rsidRPr="001C6CAB">
        <w:rPr>
          <w:rFonts w:ascii="Verdana" w:hAnsi="Verdana"/>
          <w:b/>
          <w:bCs/>
          <w:sz w:val="20"/>
          <w:szCs w:val="20"/>
        </w:rPr>
        <w:t>SISTEMA INTEGRAL DE ADMINISTRACIÓN DE RIESGOS  </w:t>
      </w:r>
    </w:p>
    <w:p w14:paraId="77282511" w14:textId="4CFAE16D" w:rsidR="00161838" w:rsidRPr="001C6CAB" w:rsidRDefault="00161838" w:rsidP="00B929BB">
      <w:pPr>
        <w:spacing w:after="0"/>
        <w:jc w:val="center"/>
        <w:rPr>
          <w:rFonts w:ascii="Verdana" w:hAnsi="Verdana"/>
          <w:b/>
          <w:bCs/>
          <w:sz w:val="20"/>
          <w:szCs w:val="20"/>
        </w:rPr>
      </w:pPr>
      <w:r w:rsidRPr="001C6CAB">
        <w:rPr>
          <w:rFonts w:ascii="Verdana" w:hAnsi="Verdana"/>
          <w:b/>
          <w:bCs/>
          <w:sz w:val="20"/>
          <w:szCs w:val="20"/>
        </w:rPr>
        <w:t>(SIAR)</w:t>
      </w:r>
    </w:p>
    <w:p w14:paraId="5A230518" w14:textId="77777777" w:rsidR="00161838" w:rsidRPr="001C6CAB" w:rsidRDefault="00161838" w:rsidP="00B929BB">
      <w:pPr>
        <w:spacing w:after="0"/>
        <w:jc w:val="center"/>
        <w:rPr>
          <w:rFonts w:ascii="Verdana" w:hAnsi="Verdana"/>
          <w:b/>
          <w:bCs/>
          <w:sz w:val="20"/>
          <w:szCs w:val="20"/>
        </w:rPr>
      </w:pPr>
    </w:p>
    <w:p w14:paraId="0C8756BE" w14:textId="59BE5E58" w:rsidR="00161838" w:rsidRPr="001C6CAB" w:rsidRDefault="00161838" w:rsidP="00B929BB">
      <w:pPr>
        <w:spacing w:after="0"/>
        <w:jc w:val="center"/>
        <w:rPr>
          <w:rFonts w:ascii="Verdana" w:hAnsi="Verdana"/>
          <w:b/>
          <w:bCs/>
          <w:sz w:val="20"/>
          <w:szCs w:val="20"/>
        </w:rPr>
      </w:pPr>
      <w:r w:rsidRPr="001C6CAB">
        <w:rPr>
          <w:rFonts w:ascii="Verdana" w:hAnsi="Verdana"/>
          <w:b/>
          <w:bCs/>
          <w:sz w:val="20"/>
          <w:szCs w:val="20"/>
        </w:rPr>
        <w:t>SECCIÓN 3</w:t>
      </w:r>
    </w:p>
    <w:p w14:paraId="5C223E21" w14:textId="7EA61263" w:rsidR="00DA0C0E" w:rsidRPr="001C6CAB" w:rsidRDefault="00757F80" w:rsidP="00B929BB">
      <w:pPr>
        <w:spacing w:after="0"/>
        <w:jc w:val="center"/>
        <w:rPr>
          <w:rFonts w:ascii="Verdana" w:hAnsi="Verdana"/>
          <w:b/>
          <w:bCs/>
          <w:sz w:val="20"/>
          <w:szCs w:val="20"/>
        </w:rPr>
      </w:pPr>
      <w:r w:rsidRPr="001C6CAB">
        <w:rPr>
          <w:rFonts w:ascii="Verdana" w:hAnsi="Verdana" w:cs="Arial"/>
          <w:b/>
          <w:sz w:val="20"/>
          <w:szCs w:val="20"/>
        </w:rPr>
        <w:t>MEDICIÓN Y/O REPORTE ESTÁNDAR DE LOS RIESGOS</w:t>
      </w:r>
    </w:p>
    <w:p w14:paraId="34FD7863" w14:textId="77777777" w:rsidR="009D6127" w:rsidRDefault="009D6127" w:rsidP="00B929BB">
      <w:pPr>
        <w:rPr>
          <w:rFonts w:ascii="Verdana" w:hAnsi="Verdana"/>
          <w:b/>
          <w:bCs/>
          <w:sz w:val="20"/>
          <w:szCs w:val="20"/>
        </w:rPr>
      </w:pPr>
    </w:p>
    <w:p w14:paraId="2B178ADF" w14:textId="3ECC756C" w:rsidR="00E74BBE" w:rsidRDefault="00E2781B" w:rsidP="00E2781B">
      <w:pPr>
        <w:tabs>
          <w:tab w:val="left" w:pos="0"/>
        </w:tabs>
        <w:spacing w:after="0" w:line="240" w:lineRule="auto"/>
        <w:jc w:val="both"/>
        <w:rPr>
          <w:rFonts w:ascii="Verdana" w:hAnsi="Verdana" w:cs="Arial"/>
          <w:b/>
          <w:sz w:val="20"/>
          <w:szCs w:val="20"/>
        </w:rPr>
      </w:pPr>
      <w:r>
        <w:rPr>
          <w:rFonts w:ascii="Verdana" w:hAnsi="Verdana" w:cs="Arial"/>
          <w:b/>
          <w:sz w:val="20"/>
          <w:szCs w:val="20"/>
        </w:rPr>
        <w:t>I</w:t>
      </w:r>
      <w:r w:rsidRPr="00857D12">
        <w:rPr>
          <w:rFonts w:ascii="Verdana" w:hAnsi="Verdana" w:cs="Arial"/>
          <w:b/>
          <w:sz w:val="20"/>
          <w:szCs w:val="20"/>
        </w:rPr>
        <w:t>NTRODUCCIÓN</w:t>
      </w:r>
    </w:p>
    <w:p w14:paraId="4E84BBF7" w14:textId="77777777" w:rsidR="00E2781B" w:rsidRPr="00E2781B" w:rsidRDefault="00E2781B" w:rsidP="00E2781B">
      <w:pPr>
        <w:tabs>
          <w:tab w:val="left" w:pos="0"/>
        </w:tabs>
        <w:spacing w:after="0" w:line="240" w:lineRule="auto"/>
        <w:jc w:val="both"/>
        <w:rPr>
          <w:rFonts w:ascii="Verdana" w:hAnsi="Verdana" w:cs="Arial"/>
          <w:b/>
          <w:sz w:val="20"/>
          <w:szCs w:val="20"/>
        </w:rPr>
      </w:pPr>
    </w:p>
    <w:p w14:paraId="02FA7940" w14:textId="77777777" w:rsidR="005F423E" w:rsidRPr="001C6CAB" w:rsidRDefault="005F423E" w:rsidP="005F423E">
      <w:pPr>
        <w:spacing w:after="0"/>
        <w:rPr>
          <w:rFonts w:ascii="Verdana" w:hAnsi="Verdana"/>
          <w:sz w:val="20"/>
          <w:szCs w:val="20"/>
        </w:rPr>
      </w:pPr>
      <w:r w:rsidRPr="001C6CAB">
        <w:rPr>
          <w:rFonts w:ascii="Verdana" w:hAnsi="Verdana"/>
          <w:sz w:val="20"/>
          <w:szCs w:val="20"/>
        </w:rPr>
        <w:t>1.1.3.1.</w:t>
      </w:r>
    </w:p>
    <w:p w14:paraId="04436EFE" w14:textId="27EAB85E" w:rsidR="002B3025" w:rsidRPr="002B3025" w:rsidRDefault="002B3025" w:rsidP="12B437D6">
      <w:pPr>
        <w:tabs>
          <w:tab w:val="left" w:pos="709"/>
        </w:tabs>
        <w:jc w:val="both"/>
        <w:rPr>
          <w:rFonts w:ascii="Verdana" w:hAnsi="Verdana" w:cs="Arial"/>
          <w:sz w:val="20"/>
          <w:szCs w:val="20"/>
        </w:rPr>
      </w:pPr>
      <w:r w:rsidRPr="12B437D6">
        <w:rPr>
          <w:rFonts w:ascii="Verdana" w:hAnsi="Verdana" w:cs="Arial"/>
          <w:sz w:val="20"/>
          <w:szCs w:val="20"/>
        </w:rPr>
        <w:t xml:space="preserve">Con el propósito de lograr una adecuada medición y/o reporte de los riesgos de crédito, mercado, operacional, liquidez, país y tasa de interés del libro bancario, bajo estándares homogéneos, así como asignar el deterioro (en adelante provisiones), la liquidez y el capital necesario para cubrir el riesgo de mercado y operacional, la entidad debe dar cumplimiento con los lineamientos establecidos en la presente </w:t>
      </w:r>
      <w:r w:rsidR="003D784F">
        <w:rPr>
          <w:rFonts w:ascii="Verdana" w:hAnsi="Verdana" w:cs="Arial"/>
          <w:sz w:val="20"/>
          <w:szCs w:val="20"/>
        </w:rPr>
        <w:t>p</w:t>
      </w:r>
      <w:r w:rsidRPr="12B437D6">
        <w:rPr>
          <w:rFonts w:ascii="Verdana" w:hAnsi="Verdana" w:cs="Arial"/>
          <w:sz w:val="20"/>
          <w:szCs w:val="20"/>
        </w:rPr>
        <w:t>arte.</w:t>
      </w:r>
    </w:p>
    <w:p w14:paraId="69FE9B41" w14:textId="7C88C37F" w:rsidR="00CC7355" w:rsidRPr="001C6CAB" w:rsidRDefault="00CC7355" w:rsidP="00CC7355">
      <w:pPr>
        <w:spacing w:after="0"/>
        <w:rPr>
          <w:rFonts w:ascii="Verdana" w:hAnsi="Verdana"/>
          <w:sz w:val="20"/>
          <w:szCs w:val="20"/>
        </w:rPr>
      </w:pPr>
      <w:r w:rsidRPr="001C6CAB">
        <w:rPr>
          <w:rFonts w:ascii="Verdana" w:hAnsi="Verdana"/>
          <w:sz w:val="20"/>
          <w:szCs w:val="20"/>
        </w:rPr>
        <w:t>1.1.3.</w:t>
      </w:r>
      <w:r w:rsidR="007B0B49">
        <w:rPr>
          <w:rFonts w:ascii="Verdana" w:hAnsi="Verdana"/>
          <w:sz w:val="20"/>
          <w:szCs w:val="20"/>
        </w:rPr>
        <w:t>2</w:t>
      </w:r>
      <w:r w:rsidRPr="001C6CAB">
        <w:rPr>
          <w:rFonts w:ascii="Verdana" w:hAnsi="Verdana"/>
          <w:sz w:val="20"/>
          <w:szCs w:val="20"/>
        </w:rPr>
        <w:t>.</w:t>
      </w:r>
    </w:p>
    <w:p w14:paraId="38690FC9" w14:textId="18E0DCB5" w:rsidR="002B3025" w:rsidRPr="002B3025" w:rsidRDefault="002B3025" w:rsidP="00C006A0">
      <w:pPr>
        <w:spacing w:after="200" w:line="276" w:lineRule="auto"/>
        <w:jc w:val="both"/>
        <w:rPr>
          <w:rFonts w:ascii="Verdana" w:hAnsi="Verdana" w:cs="Arial"/>
          <w:bCs/>
          <w:sz w:val="20"/>
          <w:szCs w:val="20"/>
        </w:rPr>
      </w:pPr>
      <w:r w:rsidRPr="002B3025">
        <w:rPr>
          <w:rFonts w:ascii="Verdana" w:hAnsi="Verdana" w:cs="Arial"/>
          <w:bCs/>
          <w:sz w:val="20"/>
          <w:szCs w:val="20"/>
        </w:rPr>
        <w:t>En el ámbito de aplicación de cada riesgo se señalan las entidades que deben dar cumplimiento a las instrucciones correspondientes</w:t>
      </w:r>
      <w:r w:rsidR="00C006A0">
        <w:rPr>
          <w:rFonts w:ascii="Verdana" w:hAnsi="Verdana" w:cs="Arial"/>
          <w:bCs/>
          <w:sz w:val="20"/>
          <w:szCs w:val="20"/>
        </w:rPr>
        <w:t>.</w:t>
      </w:r>
    </w:p>
    <w:p w14:paraId="318F6378" w14:textId="15A9CB19" w:rsidR="002B3025" w:rsidRPr="007B0B49" w:rsidRDefault="00C006A0" w:rsidP="00A3358D">
      <w:pPr>
        <w:rPr>
          <w:rFonts w:ascii="Verdana" w:hAnsi="Verdana" w:cs="Arial"/>
          <w:b/>
          <w:sz w:val="20"/>
          <w:szCs w:val="20"/>
        </w:rPr>
      </w:pPr>
      <w:r>
        <w:rPr>
          <w:rFonts w:ascii="Verdana" w:hAnsi="Verdana" w:cs="Arial"/>
          <w:b/>
          <w:sz w:val="20"/>
          <w:szCs w:val="20"/>
        </w:rPr>
        <w:br w:type="page"/>
      </w:r>
      <w:r w:rsidRPr="007B0B49">
        <w:rPr>
          <w:rFonts w:ascii="Verdana" w:hAnsi="Verdana" w:cs="Arial"/>
          <w:b/>
          <w:sz w:val="20"/>
          <w:szCs w:val="20"/>
        </w:rPr>
        <w:lastRenderedPageBreak/>
        <w:t>MODELO DE RIESGO DE CRÉDITO</w:t>
      </w:r>
    </w:p>
    <w:p w14:paraId="1D577912" w14:textId="77777777" w:rsidR="00A3358D" w:rsidRDefault="00A3358D" w:rsidP="00BA02FC">
      <w:pPr>
        <w:tabs>
          <w:tab w:val="left" w:pos="0"/>
        </w:tabs>
        <w:spacing w:after="0" w:line="240" w:lineRule="auto"/>
        <w:jc w:val="both"/>
        <w:rPr>
          <w:rFonts w:ascii="Verdana" w:hAnsi="Verdana" w:cs="Arial"/>
          <w:b/>
          <w:sz w:val="20"/>
          <w:szCs w:val="20"/>
        </w:rPr>
      </w:pPr>
    </w:p>
    <w:p w14:paraId="47145847" w14:textId="59AEAE09" w:rsidR="00BA02FC" w:rsidRDefault="002B3025" w:rsidP="00BA02FC">
      <w:pPr>
        <w:tabs>
          <w:tab w:val="left" w:pos="0"/>
        </w:tabs>
        <w:spacing w:after="0" w:line="240" w:lineRule="auto"/>
        <w:jc w:val="both"/>
        <w:rPr>
          <w:rFonts w:ascii="Verdana" w:hAnsi="Verdana" w:cs="Arial"/>
          <w:b/>
          <w:sz w:val="20"/>
          <w:szCs w:val="20"/>
        </w:rPr>
      </w:pPr>
      <w:r w:rsidRPr="007B0B49">
        <w:rPr>
          <w:rFonts w:ascii="Verdana" w:hAnsi="Verdana" w:cs="Arial"/>
          <w:b/>
          <w:sz w:val="20"/>
          <w:szCs w:val="20"/>
        </w:rPr>
        <w:t>Ámbito de aplicación</w:t>
      </w:r>
    </w:p>
    <w:p w14:paraId="69079239" w14:textId="77777777" w:rsidR="00BA02FC" w:rsidRDefault="00BA02FC" w:rsidP="00BA02FC">
      <w:pPr>
        <w:tabs>
          <w:tab w:val="left" w:pos="0"/>
        </w:tabs>
        <w:spacing w:after="0" w:line="240" w:lineRule="auto"/>
        <w:jc w:val="both"/>
        <w:rPr>
          <w:rFonts w:ascii="Verdana" w:hAnsi="Verdana" w:cs="Arial"/>
          <w:b/>
          <w:sz w:val="20"/>
          <w:szCs w:val="20"/>
        </w:rPr>
      </w:pPr>
    </w:p>
    <w:p w14:paraId="5B5059B2" w14:textId="728B6751" w:rsidR="007B0B49" w:rsidRPr="00BA02FC" w:rsidRDefault="007B0B49" w:rsidP="00BA02FC">
      <w:pPr>
        <w:spacing w:after="0" w:line="240" w:lineRule="auto"/>
        <w:jc w:val="both"/>
        <w:rPr>
          <w:rFonts w:ascii="Verdana" w:hAnsi="Verdana" w:cs="Arial"/>
          <w:b/>
          <w:sz w:val="20"/>
          <w:szCs w:val="20"/>
        </w:rPr>
      </w:pPr>
      <w:r w:rsidRPr="001C6CAB">
        <w:rPr>
          <w:rFonts w:ascii="Verdana" w:hAnsi="Verdana"/>
          <w:sz w:val="20"/>
          <w:szCs w:val="20"/>
        </w:rPr>
        <w:t>1.1.3.</w:t>
      </w:r>
      <w:r>
        <w:rPr>
          <w:rFonts w:ascii="Verdana" w:hAnsi="Verdana"/>
          <w:sz w:val="20"/>
          <w:szCs w:val="20"/>
        </w:rPr>
        <w:t>3</w:t>
      </w:r>
      <w:r w:rsidRPr="001C6CAB">
        <w:rPr>
          <w:rFonts w:ascii="Verdana" w:hAnsi="Verdana"/>
          <w:sz w:val="20"/>
          <w:szCs w:val="20"/>
        </w:rPr>
        <w:t>.</w:t>
      </w:r>
    </w:p>
    <w:p w14:paraId="6DF2A7FA" w14:textId="34B96356" w:rsidR="002B3025" w:rsidRPr="002B3025" w:rsidRDefault="002B3025" w:rsidP="00BA02FC">
      <w:pPr>
        <w:jc w:val="both"/>
        <w:rPr>
          <w:rFonts w:ascii="Verdana" w:hAnsi="Verdana" w:cs="Arial"/>
          <w:bCs/>
          <w:sz w:val="20"/>
          <w:szCs w:val="20"/>
        </w:rPr>
      </w:pPr>
      <w:r w:rsidRPr="002B3025">
        <w:rPr>
          <w:rFonts w:ascii="Verdana" w:hAnsi="Verdana" w:cs="Arial"/>
          <w:bCs/>
          <w:sz w:val="20"/>
          <w:szCs w:val="20"/>
        </w:rPr>
        <w:t xml:space="preserve">Las siguientes entidades y negocios deben cumplir con las instrucciones que se señalan en </w:t>
      </w:r>
      <w:r w:rsidR="00BA02FC">
        <w:rPr>
          <w:rFonts w:ascii="Verdana" w:hAnsi="Verdana" w:cs="Arial"/>
          <w:bCs/>
          <w:sz w:val="20"/>
          <w:szCs w:val="20"/>
        </w:rPr>
        <w:t>a continuación</w:t>
      </w:r>
      <w:r w:rsidRPr="002B3025">
        <w:rPr>
          <w:rFonts w:ascii="Verdana" w:hAnsi="Verdana" w:cs="Arial"/>
          <w:bCs/>
          <w:sz w:val="20"/>
          <w:szCs w:val="20"/>
        </w:rPr>
        <w:t>:</w:t>
      </w:r>
    </w:p>
    <w:p w14:paraId="67847311" w14:textId="5F068808" w:rsidR="00BA02FC" w:rsidRPr="00BA02FC" w:rsidRDefault="002B3025" w:rsidP="00551D66">
      <w:pPr>
        <w:pStyle w:val="Prrafodelista"/>
        <w:numPr>
          <w:ilvl w:val="0"/>
          <w:numId w:val="38"/>
        </w:numPr>
        <w:spacing w:after="0"/>
        <w:ind w:left="567" w:hanging="567"/>
        <w:jc w:val="both"/>
        <w:rPr>
          <w:rFonts w:ascii="Verdana" w:hAnsi="Verdana"/>
          <w:sz w:val="20"/>
          <w:szCs w:val="20"/>
        </w:rPr>
      </w:pPr>
      <w:r w:rsidRPr="00BA02FC">
        <w:rPr>
          <w:rFonts w:ascii="Verdana" w:hAnsi="Verdana" w:cs="Arial"/>
          <w:sz w:val="20"/>
          <w:szCs w:val="20"/>
        </w:rPr>
        <w:t>Los E</w:t>
      </w:r>
      <w:r w:rsidR="00B279E5">
        <w:rPr>
          <w:rFonts w:ascii="Verdana" w:hAnsi="Verdana" w:cs="Arial"/>
          <w:sz w:val="20"/>
          <w:szCs w:val="20"/>
        </w:rPr>
        <w:t xml:space="preserve">stablecimientos de </w:t>
      </w:r>
      <w:r w:rsidRPr="00BA02FC">
        <w:rPr>
          <w:rFonts w:ascii="Verdana" w:hAnsi="Verdana" w:cs="Arial"/>
          <w:sz w:val="20"/>
          <w:szCs w:val="20"/>
        </w:rPr>
        <w:t>C</w:t>
      </w:r>
      <w:r w:rsidR="00B279E5">
        <w:rPr>
          <w:rFonts w:ascii="Verdana" w:hAnsi="Verdana" w:cs="Arial"/>
          <w:sz w:val="20"/>
          <w:szCs w:val="20"/>
        </w:rPr>
        <w:t>rédito (EC)</w:t>
      </w:r>
      <w:r w:rsidRPr="00BA02FC">
        <w:rPr>
          <w:rFonts w:ascii="Verdana" w:hAnsi="Verdana" w:cs="Arial"/>
          <w:sz w:val="20"/>
          <w:szCs w:val="20"/>
        </w:rPr>
        <w:t>, los organismos cooperativos de grado superior y demás entidades vigiladas por la SFC que dentro de su objeto social principal estén autorizadas para otorgar crédito y/o realizar operaciones de redescuento.</w:t>
      </w:r>
    </w:p>
    <w:p w14:paraId="1AD908A3" w14:textId="77777777" w:rsidR="00BA02FC" w:rsidRPr="00BA02FC" w:rsidRDefault="00BA02FC" w:rsidP="00BA02FC">
      <w:pPr>
        <w:pStyle w:val="Prrafodelista"/>
        <w:spacing w:after="0"/>
        <w:ind w:left="567"/>
        <w:jc w:val="both"/>
        <w:rPr>
          <w:rFonts w:ascii="Verdana" w:hAnsi="Verdana"/>
          <w:sz w:val="20"/>
          <w:szCs w:val="20"/>
        </w:rPr>
      </w:pPr>
    </w:p>
    <w:p w14:paraId="20443B61" w14:textId="75993DF1" w:rsidR="00537C4B" w:rsidRPr="00537C4B" w:rsidRDefault="002B3025" w:rsidP="00551D66">
      <w:pPr>
        <w:pStyle w:val="Prrafodelista"/>
        <w:numPr>
          <w:ilvl w:val="0"/>
          <w:numId w:val="38"/>
        </w:numPr>
        <w:spacing w:after="0"/>
        <w:ind w:left="567" w:hanging="567"/>
        <w:jc w:val="both"/>
        <w:rPr>
          <w:rFonts w:ascii="Verdana" w:hAnsi="Verdana"/>
          <w:sz w:val="20"/>
          <w:szCs w:val="20"/>
        </w:rPr>
      </w:pPr>
      <w:r w:rsidRPr="00BA02FC">
        <w:rPr>
          <w:rFonts w:ascii="Verdana" w:hAnsi="Verdana" w:cs="Arial"/>
          <w:sz w:val="20"/>
          <w:szCs w:val="20"/>
        </w:rPr>
        <w:t>Las sociedades fiduciarias que reciban cartera de créditos a través de encargos fiduciarios o las administre a través de patrimonios, salvo que para el caso de la cartera de crédito no originada en el sistema financiero, el fideicomitente, de manera inequívoca, imparta instrucción expresa sobre los elementos de gestión y medición que consideran deben aplicarse al fideicomiso.</w:t>
      </w:r>
      <w:r w:rsidR="00537C4B">
        <w:rPr>
          <w:rFonts w:ascii="Verdana" w:hAnsi="Verdana" w:cs="Arial"/>
          <w:sz w:val="20"/>
          <w:szCs w:val="20"/>
        </w:rPr>
        <w:t xml:space="preserve"> </w:t>
      </w:r>
      <w:r w:rsidRPr="00537C4B">
        <w:rPr>
          <w:rFonts w:ascii="Verdana" w:hAnsi="Verdana" w:cs="Arial"/>
          <w:bCs/>
          <w:sz w:val="20"/>
          <w:szCs w:val="20"/>
        </w:rPr>
        <w:t xml:space="preserve">En el caso en que el fideicomitente sea un </w:t>
      </w:r>
      <w:r w:rsidR="00B279E5">
        <w:rPr>
          <w:rFonts w:ascii="Verdana" w:hAnsi="Verdana" w:cs="Arial"/>
          <w:bCs/>
          <w:sz w:val="20"/>
          <w:szCs w:val="20"/>
        </w:rPr>
        <w:t>EC</w:t>
      </w:r>
      <w:r w:rsidRPr="00537C4B">
        <w:rPr>
          <w:rFonts w:ascii="Verdana" w:hAnsi="Verdana" w:cs="Arial"/>
          <w:bCs/>
          <w:sz w:val="20"/>
          <w:szCs w:val="20"/>
        </w:rPr>
        <w:t>, se debe gestionar y medir el riesgo de crédito de dicha cartera aplicando las instrucciones aplicables a</w:t>
      </w:r>
      <w:r w:rsidR="0005277E">
        <w:rPr>
          <w:rFonts w:ascii="Verdana" w:hAnsi="Verdana" w:cs="Arial"/>
          <w:bCs/>
          <w:sz w:val="20"/>
          <w:szCs w:val="20"/>
        </w:rPr>
        <w:t xml:space="preserve">l </w:t>
      </w:r>
      <w:r w:rsidR="00B279E5">
        <w:rPr>
          <w:rFonts w:ascii="Verdana" w:hAnsi="Verdana" w:cs="Arial"/>
          <w:bCs/>
          <w:sz w:val="20"/>
          <w:szCs w:val="20"/>
        </w:rPr>
        <w:t>EC</w:t>
      </w:r>
      <w:r w:rsidRPr="00537C4B">
        <w:rPr>
          <w:rFonts w:ascii="Verdana" w:hAnsi="Verdana" w:cs="Arial"/>
          <w:bCs/>
          <w:sz w:val="20"/>
          <w:szCs w:val="20"/>
        </w:rPr>
        <w:t xml:space="preserve">. Dicha gestión y medición podrá realizarla el mismo </w:t>
      </w:r>
      <w:r w:rsidR="00B279E5">
        <w:rPr>
          <w:rFonts w:ascii="Verdana" w:hAnsi="Verdana" w:cs="Arial"/>
          <w:bCs/>
          <w:sz w:val="20"/>
          <w:szCs w:val="20"/>
        </w:rPr>
        <w:t>EC</w:t>
      </w:r>
      <w:r w:rsidRPr="00537C4B">
        <w:rPr>
          <w:rFonts w:ascii="Verdana" w:hAnsi="Verdana" w:cs="Arial"/>
          <w:bCs/>
          <w:sz w:val="20"/>
          <w:szCs w:val="20"/>
        </w:rPr>
        <w:t xml:space="preserve"> o la sociedad fiduciaria, si esto último se pacta expresamente en el respectivo contrato.</w:t>
      </w:r>
    </w:p>
    <w:p w14:paraId="74A6AB43" w14:textId="77777777" w:rsidR="00537C4B" w:rsidRPr="00537C4B" w:rsidRDefault="00537C4B" w:rsidP="00537C4B">
      <w:pPr>
        <w:pStyle w:val="Prrafodelista"/>
        <w:rPr>
          <w:rFonts w:ascii="Verdana" w:hAnsi="Verdana" w:cs="Arial"/>
          <w:bCs/>
          <w:sz w:val="20"/>
          <w:szCs w:val="20"/>
        </w:rPr>
      </w:pPr>
    </w:p>
    <w:p w14:paraId="73DCD049" w14:textId="131C7A3D" w:rsidR="002B3025" w:rsidRPr="00537C4B" w:rsidRDefault="002B3025" w:rsidP="00551D66">
      <w:pPr>
        <w:pStyle w:val="Prrafodelista"/>
        <w:numPr>
          <w:ilvl w:val="0"/>
          <w:numId w:val="38"/>
        </w:numPr>
        <w:spacing w:after="0"/>
        <w:ind w:left="567" w:hanging="567"/>
        <w:jc w:val="both"/>
        <w:rPr>
          <w:rFonts w:ascii="Verdana" w:hAnsi="Verdana"/>
          <w:sz w:val="20"/>
          <w:szCs w:val="20"/>
        </w:rPr>
      </w:pPr>
      <w:r w:rsidRPr="00537C4B">
        <w:rPr>
          <w:rFonts w:ascii="Verdana" w:hAnsi="Verdana" w:cs="Arial"/>
          <w:bCs/>
          <w:sz w:val="20"/>
          <w:szCs w:val="20"/>
        </w:rPr>
        <w:t>Las E</w:t>
      </w:r>
      <w:r w:rsidR="00E119CC">
        <w:rPr>
          <w:rFonts w:ascii="Verdana" w:hAnsi="Verdana" w:cs="Arial"/>
          <w:bCs/>
          <w:sz w:val="20"/>
          <w:szCs w:val="20"/>
        </w:rPr>
        <w:t xml:space="preserve">ntidades </w:t>
      </w:r>
      <w:r w:rsidRPr="00537C4B">
        <w:rPr>
          <w:rFonts w:ascii="Verdana" w:hAnsi="Verdana" w:cs="Arial"/>
          <w:bCs/>
          <w:sz w:val="20"/>
          <w:szCs w:val="20"/>
        </w:rPr>
        <w:t>A</w:t>
      </w:r>
      <w:r w:rsidR="00E119CC">
        <w:rPr>
          <w:rFonts w:ascii="Verdana" w:hAnsi="Verdana" w:cs="Arial"/>
          <w:bCs/>
          <w:sz w:val="20"/>
          <w:szCs w:val="20"/>
        </w:rPr>
        <w:t>seguradoras (EA)</w:t>
      </w:r>
      <w:r w:rsidRPr="00537C4B">
        <w:rPr>
          <w:rFonts w:ascii="Verdana" w:hAnsi="Verdana" w:cs="Arial"/>
          <w:bCs/>
          <w:sz w:val="20"/>
          <w:szCs w:val="20"/>
        </w:rPr>
        <w:t xml:space="preserve"> y sociedades de capitalización únicamente sobre las operaciones que generen riesgo de crédito y que reporten valores en partidas contables </w:t>
      </w:r>
      <w:r w:rsidR="00250191">
        <w:rPr>
          <w:rFonts w:ascii="Verdana" w:hAnsi="Verdana" w:cs="Arial"/>
          <w:bCs/>
          <w:sz w:val="20"/>
          <w:szCs w:val="20"/>
        </w:rPr>
        <w:t xml:space="preserve">por ese concepto </w:t>
      </w:r>
      <w:r w:rsidRPr="00537C4B">
        <w:rPr>
          <w:rFonts w:ascii="Verdana" w:hAnsi="Verdana" w:cs="Arial"/>
          <w:bCs/>
          <w:sz w:val="20"/>
          <w:szCs w:val="20"/>
        </w:rPr>
        <w:t xml:space="preserve">(excepto los préstamos sobre títulos de capitalización y de pólizas de seguros) y las cuentas por cobrar correspondientes a crédito a empleados y agentes. </w:t>
      </w:r>
    </w:p>
    <w:p w14:paraId="792F7A46" w14:textId="77777777" w:rsidR="002B3025" w:rsidRPr="002B3025" w:rsidRDefault="002B3025" w:rsidP="00B929BB">
      <w:pPr>
        <w:pStyle w:val="Prrafodelista"/>
        <w:ind w:left="0"/>
        <w:jc w:val="both"/>
        <w:rPr>
          <w:rFonts w:ascii="Verdana" w:hAnsi="Verdana" w:cs="Arial"/>
          <w:bCs/>
          <w:sz w:val="20"/>
          <w:szCs w:val="20"/>
        </w:rPr>
      </w:pPr>
    </w:p>
    <w:p w14:paraId="298B807A" w14:textId="61B68171" w:rsidR="002B3025" w:rsidRDefault="002B3025" w:rsidP="00DE0FB6">
      <w:pPr>
        <w:pStyle w:val="Prrafodelista"/>
        <w:tabs>
          <w:tab w:val="right" w:pos="540"/>
        </w:tabs>
        <w:spacing w:after="0" w:line="240" w:lineRule="auto"/>
        <w:ind w:left="0"/>
        <w:contextualSpacing w:val="0"/>
        <w:jc w:val="both"/>
        <w:rPr>
          <w:rFonts w:ascii="Verdana" w:hAnsi="Verdana" w:cs="Arial"/>
          <w:b/>
          <w:sz w:val="20"/>
          <w:szCs w:val="20"/>
        </w:rPr>
      </w:pPr>
      <w:r w:rsidRPr="00FA3E89">
        <w:rPr>
          <w:rFonts w:ascii="Verdana" w:hAnsi="Verdana" w:cs="Arial"/>
          <w:b/>
          <w:sz w:val="20"/>
          <w:szCs w:val="20"/>
        </w:rPr>
        <w:t>Excepciones</w:t>
      </w:r>
    </w:p>
    <w:p w14:paraId="17A8B170" w14:textId="77777777" w:rsidR="00DE0FB6" w:rsidRPr="00DE0FB6" w:rsidRDefault="00DE0FB6" w:rsidP="00DE0FB6">
      <w:pPr>
        <w:pStyle w:val="Prrafodelista"/>
        <w:tabs>
          <w:tab w:val="right" w:pos="540"/>
        </w:tabs>
        <w:spacing w:after="0" w:line="240" w:lineRule="auto"/>
        <w:ind w:left="0"/>
        <w:contextualSpacing w:val="0"/>
        <w:jc w:val="both"/>
        <w:rPr>
          <w:rFonts w:ascii="Verdana" w:hAnsi="Verdana" w:cs="Arial"/>
          <w:b/>
          <w:sz w:val="20"/>
          <w:szCs w:val="20"/>
        </w:rPr>
      </w:pPr>
    </w:p>
    <w:p w14:paraId="44857C8F" w14:textId="0636950F" w:rsidR="00FA3E89" w:rsidRPr="001C6CAB" w:rsidRDefault="00FA3E89" w:rsidP="00FA3E89">
      <w:pPr>
        <w:spacing w:after="0"/>
        <w:rPr>
          <w:rFonts w:ascii="Verdana" w:hAnsi="Verdana"/>
          <w:sz w:val="20"/>
          <w:szCs w:val="20"/>
        </w:rPr>
      </w:pPr>
      <w:r w:rsidRPr="001C6CAB">
        <w:rPr>
          <w:rFonts w:ascii="Verdana" w:hAnsi="Verdana"/>
          <w:sz w:val="20"/>
          <w:szCs w:val="20"/>
        </w:rPr>
        <w:t>1.1.3.</w:t>
      </w:r>
      <w:r w:rsidR="00DE0FB6">
        <w:rPr>
          <w:rFonts w:ascii="Verdana" w:hAnsi="Verdana"/>
          <w:sz w:val="20"/>
          <w:szCs w:val="20"/>
        </w:rPr>
        <w:t>4</w:t>
      </w:r>
      <w:r w:rsidRPr="001C6CAB">
        <w:rPr>
          <w:rFonts w:ascii="Verdana" w:hAnsi="Verdana"/>
          <w:sz w:val="20"/>
          <w:szCs w:val="20"/>
        </w:rPr>
        <w:t>.</w:t>
      </w:r>
    </w:p>
    <w:p w14:paraId="30113518" w14:textId="310188B8" w:rsidR="002B3025" w:rsidRPr="002B3025" w:rsidRDefault="002B3025" w:rsidP="00B929BB">
      <w:pPr>
        <w:pStyle w:val="Prrafodelista"/>
        <w:ind w:left="0"/>
        <w:jc w:val="both"/>
        <w:rPr>
          <w:rFonts w:ascii="Verdana" w:hAnsi="Verdana" w:cs="Arial"/>
          <w:bCs/>
          <w:sz w:val="20"/>
          <w:szCs w:val="20"/>
        </w:rPr>
      </w:pPr>
      <w:r w:rsidRPr="002B3025">
        <w:rPr>
          <w:rFonts w:ascii="Verdana" w:hAnsi="Verdana" w:cs="Arial"/>
          <w:bCs/>
          <w:sz w:val="20"/>
          <w:szCs w:val="20"/>
        </w:rPr>
        <w:t>Están exceptuadas de cumplir las instrucciones</w:t>
      </w:r>
      <w:r w:rsidR="00B30D31">
        <w:rPr>
          <w:rFonts w:ascii="Verdana" w:hAnsi="Verdana" w:cs="Arial"/>
          <w:bCs/>
          <w:sz w:val="20"/>
          <w:szCs w:val="20"/>
        </w:rPr>
        <w:t xml:space="preserve"> relacionadas con el modelo de riesgo de crédito</w:t>
      </w:r>
      <w:r w:rsidR="0098065F">
        <w:rPr>
          <w:rFonts w:ascii="Verdana" w:hAnsi="Verdana" w:cs="Arial"/>
          <w:bCs/>
          <w:sz w:val="20"/>
          <w:szCs w:val="20"/>
        </w:rPr>
        <w:t xml:space="preserve"> (párrafos 1.1.3.3. </w:t>
      </w:r>
      <w:r w:rsidR="0098065F" w:rsidRPr="00631465">
        <w:rPr>
          <w:rFonts w:ascii="Verdana" w:hAnsi="Verdana" w:cs="Arial"/>
          <w:bCs/>
          <w:sz w:val="20"/>
          <w:szCs w:val="20"/>
        </w:rPr>
        <w:t>al 1.1.3.</w:t>
      </w:r>
      <w:r w:rsidR="00631465" w:rsidRPr="00631465">
        <w:rPr>
          <w:rFonts w:ascii="Verdana" w:hAnsi="Verdana" w:cs="Arial"/>
          <w:bCs/>
          <w:sz w:val="20"/>
          <w:szCs w:val="20"/>
        </w:rPr>
        <w:t>81.</w:t>
      </w:r>
      <w:r w:rsidR="0098065F">
        <w:rPr>
          <w:rFonts w:ascii="Verdana" w:hAnsi="Verdana" w:cs="Arial"/>
          <w:bCs/>
          <w:sz w:val="20"/>
          <w:szCs w:val="20"/>
        </w:rPr>
        <w:t>)</w:t>
      </w:r>
      <w:r w:rsidRPr="002B3025">
        <w:rPr>
          <w:rFonts w:ascii="Verdana" w:hAnsi="Verdana" w:cs="Arial"/>
          <w:bCs/>
          <w:sz w:val="20"/>
          <w:szCs w:val="20"/>
        </w:rPr>
        <w:t xml:space="preserve"> las entidades </w:t>
      </w:r>
      <w:r w:rsidR="00150F74">
        <w:rPr>
          <w:rFonts w:ascii="Verdana" w:hAnsi="Verdana" w:cs="Arial"/>
          <w:bCs/>
          <w:sz w:val="20"/>
          <w:szCs w:val="20"/>
        </w:rPr>
        <w:t xml:space="preserve">señaladas en el párrafo 1.1.2.8. de la </w:t>
      </w:r>
      <w:r w:rsidR="006317A5">
        <w:rPr>
          <w:rFonts w:ascii="Verdana" w:hAnsi="Verdana" w:cs="Arial"/>
          <w:bCs/>
          <w:sz w:val="20"/>
          <w:szCs w:val="20"/>
        </w:rPr>
        <w:t>CBF</w:t>
      </w:r>
      <w:r w:rsidR="00F012BA">
        <w:rPr>
          <w:rFonts w:ascii="Verdana" w:hAnsi="Verdana" w:cs="Arial"/>
          <w:bCs/>
          <w:sz w:val="20"/>
          <w:szCs w:val="20"/>
        </w:rPr>
        <w:t xml:space="preserve">. </w:t>
      </w:r>
    </w:p>
    <w:p w14:paraId="5C38774D" w14:textId="6AEDC242" w:rsidR="002B3025" w:rsidRDefault="002B3025" w:rsidP="00DE0FB6">
      <w:pPr>
        <w:tabs>
          <w:tab w:val="left" w:pos="0"/>
        </w:tabs>
        <w:spacing w:after="0" w:line="240" w:lineRule="auto"/>
        <w:jc w:val="both"/>
        <w:rPr>
          <w:rFonts w:ascii="Verdana" w:hAnsi="Verdana" w:cs="Arial"/>
          <w:b/>
          <w:sz w:val="20"/>
          <w:szCs w:val="20"/>
        </w:rPr>
      </w:pPr>
      <w:r w:rsidRPr="00FA3E89">
        <w:rPr>
          <w:rFonts w:ascii="Verdana" w:hAnsi="Verdana" w:cs="Arial"/>
          <w:b/>
          <w:sz w:val="20"/>
          <w:szCs w:val="20"/>
        </w:rPr>
        <w:t>Modalidades de crédito</w:t>
      </w:r>
    </w:p>
    <w:p w14:paraId="12B3D882" w14:textId="77777777" w:rsidR="00DE0FB6" w:rsidRPr="00DE0FB6" w:rsidRDefault="00DE0FB6" w:rsidP="00DE0FB6">
      <w:pPr>
        <w:tabs>
          <w:tab w:val="left" w:pos="0"/>
        </w:tabs>
        <w:spacing w:after="0" w:line="240" w:lineRule="auto"/>
        <w:jc w:val="both"/>
        <w:rPr>
          <w:rFonts w:ascii="Verdana" w:hAnsi="Verdana" w:cs="Arial"/>
          <w:b/>
          <w:sz w:val="20"/>
          <w:szCs w:val="20"/>
        </w:rPr>
      </w:pPr>
    </w:p>
    <w:p w14:paraId="1875F901" w14:textId="35DB7219" w:rsidR="00FA3E89" w:rsidRPr="001C6CAB" w:rsidRDefault="00FA3E89" w:rsidP="00FA3E89">
      <w:pPr>
        <w:spacing w:after="0"/>
        <w:rPr>
          <w:rFonts w:ascii="Verdana" w:hAnsi="Verdana"/>
          <w:sz w:val="20"/>
          <w:szCs w:val="20"/>
        </w:rPr>
      </w:pPr>
      <w:r w:rsidRPr="001C6CAB">
        <w:rPr>
          <w:rFonts w:ascii="Verdana" w:hAnsi="Verdana"/>
          <w:sz w:val="20"/>
          <w:szCs w:val="20"/>
        </w:rPr>
        <w:t>1.1.3.</w:t>
      </w:r>
      <w:r w:rsidR="00A911EB">
        <w:rPr>
          <w:rFonts w:ascii="Verdana" w:hAnsi="Verdana"/>
          <w:sz w:val="20"/>
          <w:szCs w:val="20"/>
        </w:rPr>
        <w:t>5</w:t>
      </w:r>
      <w:r w:rsidRPr="001C6CAB">
        <w:rPr>
          <w:rFonts w:ascii="Verdana" w:hAnsi="Verdana"/>
          <w:sz w:val="20"/>
          <w:szCs w:val="20"/>
        </w:rPr>
        <w:t>.</w:t>
      </w:r>
    </w:p>
    <w:p w14:paraId="7BBB083E" w14:textId="48C58EF7" w:rsidR="00693F97" w:rsidRDefault="002B3025" w:rsidP="12B437D6">
      <w:pPr>
        <w:jc w:val="both"/>
        <w:rPr>
          <w:rFonts w:ascii="Verdana" w:hAnsi="Verdana" w:cs="Arial"/>
          <w:sz w:val="20"/>
          <w:szCs w:val="20"/>
        </w:rPr>
      </w:pPr>
      <w:r w:rsidRPr="12B437D6">
        <w:rPr>
          <w:rFonts w:ascii="Verdana" w:hAnsi="Verdana" w:cs="Arial"/>
          <w:sz w:val="20"/>
          <w:szCs w:val="20"/>
        </w:rPr>
        <w:t>Para efectos de la evaluación del riesgo de crédito, del cálculo de las provisiones y de la aplicación de normas contables y de información</w:t>
      </w:r>
      <w:r w:rsidR="00151167">
        <w:rPr>
          <w:rFonts w:ascii="Verdana" w:hAnsi="Verdana" w:cs="Arial"/>
          <w:sz w:val="20"/>
          <w:szCs w:val="20"/>
        </w:rPr>
        <w:t xml:space="preserve"> financiera</w:t>
      </w:r>
      <w:r w:rsidRPr="12B437D6">
        <w:rPr>
          <w:rFonts w:ascii="Verdana" w:hAnsi="Verdana" w:cs="Arial"/>
          <w:sz w:val="20"/>
          <w:szCs w:val="20"/>
        </w:rPr>
        <w:t>: (i) la cartera de créditos, (ii) las comisiones</w:t>
      </w:r>
      <w:r w:rsidR="005E77AC">
        <w:rPr>
          <w:rFonts w:ascii="Verdana" w:hAnsi="Verdana" w:cs="Arial"/>
          <w:sz w:val="20"/>
          <w:szCs w:val="20"/>
        </w:rPr>
        <w:t>,</w:t>
      </w:r>
      <w:r w:rsidRPr="12B437D6">
        <w:rPr>
          <w:rFonts w:ascii="Verdana" w:hAnsi="Verdana" w:cs="Arial"/>
          <w:sz w:val="20"/>
          <w:szCs w:val="20"/>
        </w:rPr>
        <w:t xml:space="preserve"> y (iii) </w:t>
      </w:r>
      <w:r w:rsidR="00151167">
        <w:rPr>
          <w:rFonts w:ascii="Verdana" w:hAnsi="Verdana" w:cs="Arial"/>
          <w:sz w:val="20"/>
          <w:szCs w:val="20"/>
        </w:rPr>
        <w:t xml:space="preserve">las </w:t>
      </w:r>
      <w:r w:rsidRPr="12B437D6">
        <w:rPr>
          <w:rFonts w:ascii="Verdana" w:hAnsi="Verdana" w:cs="Arial"/>
          <w:sz w:val="20"/>
          <w:szCs w:val="20"/>
        </w:rPr>
        <w:t xml:space="preserve">cuentas por cobrar originadas en </w:t>
      </w:r>
      <w:r w:rsidR="00151167">
        <w:rPr>
          <w:rFonts w:ascii="Verdana" w:hAnsi="Verdana" w:cs="Arial"/>
          <w:sz w:val="20"/>
          <w:szCs w:val="20"/>
        </w:rPr>
        <w:t>todo</w:t>
      </w:r>
      <w:r w:rsidRPr="12B437D6">
        <w:rPr>
          <w:rFonts w:ascii="Verdana" w:hAnsi="Verdana" w:cs="Arial"/>
          <w:sz w:val="20"/>
          <w:szCs w:val="20"/>
        </w:rPr>
        <w:t xml:space="preserve"> tipo de operación se deben clasificar en las siguientes modalidades</w:t>
      </w:r>
      <w:r w:rsidR="005E77AC">
        <w:rPr>
          <w:rFonts w:ascii="Verdana" w:hAnsi="Verdana" w:cs="Arial"/>
          <w:sz w:val="20"/>
          <w:szCs w:val="20"/>
        </w:rPr>
        <w:t>:</w:t>
      </w:r>
      <w:r w:rsidRPr="12B437D6">
        <w:rPr>
          <w:rFonts w:ascii="Verdana" w:hAnsi="Verdana" w:cs="Arial"/>
          <w:sz w:val="20"/>
          <w:szCs w:val="20"/>
        </w:rPr>
        <w:t xml:space="preserve"> comercial, consumo, vivienda y microcrédito.</w:t>
      </w:r>
      <w:r w:rsidR="008F57DD">
        <w:rPr>
          <w:rFonts w:ascii="Verdana" w:hAnsi="Verdana" w:cs="Arial"/>
          <w:sz w:val="20"/>
          <w:szCs w:val="20"/>
        </w:rPr>
        <w:t xml:space="preserve"> </w:t>
      </w:r>
      <w:r w:rsidR="004C24D6" w:rsidRPr="004C24D6">
        <w:rPr>
          <w:rFonts w:ascii="Verdana" w:hAnsi="Verdana" w:cs="Arial"/>
          <w:sz w:val="20"/>
          <w:szCs w:val="20"/>
        </w:rPr>
        <w:t>De otra parte, y únicamente para efectos de la certificación del interés bancario corriente, se tendrán en cuenta las modalidades establecidas en el artículo 11.2.5.1.2 del Decreto 2555 de 2010, modificado por el Decreto 455 de 2023.</w:t>
      </w:r>
    </w:p>
    <w:p w14:paraId="50F05666" w14:textId="4AFC2EBA" w:rsidR="00AD18E7" w:rsidRPr="001C6CAB" w:rsidRDefault="00AD18E7" w:rsidP="00AD18E7">
      <w:pPr>
        <w:spacing w:after="0"/>
        <w:rPr>
          <w:rFonts w:ascii="Verdana" w:hAnsi="Verdana"/>
          <w:sz w:val="20"/>
          <w:szCs w:val="20"/>
        </w:rPr>
      </w:pPr>
      <w:r w:rsidRPr="001C6CAB">
        <w:rPr>
          <w:rFonts w:ascii="Verdana" w:hAnsi="Verdana"/>
          <w:sz w:val="20"/>
          <w:szCs w:val="20"/>
        </w:rPr>
        <w:t>1.1.3.</w:t>
      </w:r>
      <w:r w:rsidR="00A911EB">
        <w:rPr>
          <w:rFonts w:ascii="Verdana" w:hAnsi="Verdana"/>
          <w:sz w:val="20"/>
          <w:szCs w:val="20"/>
        </w:rPr>
        <w:t>6</w:t>
      </w:r>
      <w:r w:rsidRPr="001C6CAB">
        <w:rPr>
          <w:rFonts w:ascii="Verdana" w:hAnsi="Verdana"/>
          <w:sz w:val="20"/>
          <w:szCs w:val="20"/>
        </w:rPr>
        <w:t>.</w:t>
      </w:r>
    </w:p>
    <w:p w14:paraId="2A06E8EC" w14:textId="1E409DB7" w:rsidR="002B3025" w:rsidRPr="002B3025" w:rsidRDefault="002B3025" w:rsidP="00B929BB">
      <w:pPr>
        <w:jc w:val="both"/>
        <w:rPr>
          <w:rFonts w:ascii="Verdana" w:hAnsi="Verdana" w:cs="Arial"/>
          <w:bCs/>
          <w:sz w:val="20"/>
          <w:szCs w:val="20"/>
        </w:rPr>
      </w:pPr>
      <w:r w:rsidRPr="002B3025">
        <w:rPr>
          <w:rFonts w:ascii="Verdana" w:hAnsi="Verdana" w:cs="Arial"/>
          <w:bCs/>
          <w:sz w:val="20"/>
          <w:szCs w:val="20"/>
        </w:rPr>
        <w:t xml:space="preserve">Para el caso de los modelos internos, las modalidades </w:t>
      </w:r>
      <w:r w:rsidR="00A25D26">
        <w:rPr>
          <w:rFonts w:ascii="Verdana" w:hAnsi="Verdana" w:cs="Arial"/>
          <w:bCs/>
          <w:sz w:val="20"/>
          <w:szCs w:val="20"/>
        </w:rPr>
        <w:t xml:space="preserve">de crédito </w:t>
      </w:r>
      <w:r w:rsidR="00B83990">
        <w:rPr>
          <w:rFonts w:ascii="Verdana" w:hAnsi="Verdana" w:cs="Arial"/>
          <w:bCs/>
          <w:sz w:val="20"/>
          <w:szCs w:val="20"/>
        </w:rPr>
        <w:t xml:space="preserve">antes definidas para la gestión del riesgo de crédito se </w:t>
      </w:r>
      <w:r w:rsidRPr="002B3025">
        <w:rPr>
          <w:rFonts w:ascii="Verdana" w:hAnsi="Verdana" w:cs="Arial"/>
          <w:bCs/>
          <w:sz w:val="20"/>
          <w:szCs w:val="20"/>
        </w:rPr>
        <w:t>pueden subdividir en portafolios.</w:t>
      </w:r>
    </w:p>
    <w:p w14:paraId="60CA2639" w14:textId="3D3A7A4F" w:rsidR="00ED2900" w:rsidRDefault="002B3025" w:rsidP="00551D66">
      <w:pPr>
        <w:pStyle w:val="Prrafodelista"/>
        <w:numPr>
          <w:ilvl w:val="0"/>
          <w:numId w:val="39"/>
        </w:numPr>
        <w:tabs>
          <w:tab w:val="right" w:pos="284"/>
        </w:tabs>
        <w:spacing w:after="0" w:line="240" w:lineRule="auto"/>
        <w:ind w:left="284" w:hanging="284"/>
        <w:contextualSpacing w:val="0"/>
        <w:jc w:val="both"/>
        <w:rPr>
          <w:rFonts w:ascii="Verdana" w:hAnsi="Verdana" w:cs="Arial"/>
          <w:b/>
          <w:sz w:val="20"/>
          <w:szCs w:val="20"/>
        </w:rPr>
      </w:pPr>
      <w:r w:rsidRPr="00ED2900">
        <w:rPr>
          <w:rFonts w:ascii="Verdana" w:hAnsi="Verdana" w:cs="Arial"/>
          <w:b/>
          <w:sz w:val="20"/>
          <w:szCs w:val="20"/>
        </w:rPr>
        <w:t>Crédito comercial</w:t>
      </w:r>
    </w:p>
    <w:p w14:paraId="5FF9338A" w14:textId="77777777" w:rsidR="005E77AC" w:rsidRPr="005E77AC" w:rsidRDefault="005E77AC" w:rsidP="005E77AC">
      <w:pPr>
        <w:pStyle w:val="Prrafodelista"/>
        <w:tabs>
          <w:tab w:val="right" w:pos="540"/>
        </w:tabs>
        <w:spacing w:after="0" w:line="240" w:lineRule="auto"/>
        <w:ind w:left="0"/>
        <w:contextualSpacing w:val="0"/>
        <w:jc w:val="both"/>
        <w:rPr>
          <w:rFonts w:ascii="Verdana" w:hAnsi="Verdana" w:cs="Arial"/>
          <w:b/>
          <w:sz w:val="20"/>
          <w:szCs w:val="20"/>
        </w:rPr>
      </w:pPr>
    </w:p>
    <w:p w14:paraId="06D59CD0" w14:textId="0122C588" w:rsidR="00ED2900" w:rsidRPr="001C6CAB" w:rsidRDefault="00ED2900" w:rsidP="00ED2900">
      <w:pPr>
        <w:spacing w:after="0"/>
        <w:rPr>
          <w:rFonts w:ascii="Verdana" w:hAnsi="Verdana"/>
          <w:sz w:val="20"/>
          <w:szCs w:val="20"/>
        </w:rPr>
      </w:pPr>
      <w:r w:rsidRPr="001C6CAB">
        <w:rPr>
          <w:rFonts w:ascii="Verdana" w:hAnsi="Verdana"/>
          <w:sz w:val="20"/>
          <w:szCs w:val="20"/>
        </w:rPr>
        <w:t>1.1.3.</w:t>
      </w:r>
      <w:r w:rsidR="00A911EB">
        <w:rPr>
          <w:rFonts w:ascii="Verdana" w:hAnsi="Verdana"/>
          <w:sz w:val="20"/>
          <w:szCs w:val="20"/>
        </w:rPr>
        <w:t>7</w:t>
      </w:r>
      <w:r w:rsidRPr="001C6CAB">
        <w:rPr>
          <w:rFonts w:ascii="Verdana" w:hAnsi="Verdana"/>
          <w:sz w:val="20"/>
          <w:szCs w:val="20"/>
        </w:rPr>
        <w:t>.</w:t>
      </w:r>
    </w:p>
    <w:p w14:paraId="1500AD39" w14:textId="0202C6B5" w:rsidR="0034169A" w:rsidRDefault="002B3025" w:rsidP="0034169A">
      <w:pPr>
        <w:tabs>
          <w:tab w:val="left" w:pos="709"/>
        </w:tabs>
        <w:jc w:val="both"/>
        <w:rPr>
          <w:rFonts w:ascii="Verdana" w:hAnsi="Verdana" w:cs="Arial"/>
          <w:bCs/>
          <w:sz w:val="20"/>
          <w:szCs w:val="20"/>
        </w:rPr>
      </w:pPr>
      <w:r w:rsidRPr="002B3025">
        <w:rPr>
          <w:rFonts w:ascii="Verdana" w:hAnsi="Verdana" w:cs="Arial"/>
          <w:bCs/>
          <w:sz w:val="20"/>
          <w:szCs w:val="20"/>
        </w:rPr>
        <w:t>Se entiende por créditos comerciales los otorgados a personas naturales o jurídicas para el desarrollo de actividades económicas organizadas, distintos a los otorgados bajo la modalidad de microcrédito.</w:t>
      </w:r>
    </w:p>
    <w:p w14:paraId="1BD1FA53" w14:textId="77777777" w:rsidR="00803AF2" w:rsidRDefault="00803AF2" w:rsidP="0034169A">
      <w:pPr>
        <w:tabs>
          <w:tab w:val="left" w:pos="709"/>
        </w:tabs>
        <w:jc w:val="both"/>
        <w:rPr>
          <w:rFonts w:ascii="Verdana" w:hAnsi="Verdana" w:cs="Arial"/>
          <w:bCs/>
          <w:sz w:val="20"/>
          <w:szCs w:val="20"/>
        </w:rPr>
      </w:pPr>
    </w:p>
    <w:p w14:paraId="7CD3445A" w14:textId="77777777" w:rsidR="00803AF2" w:rsidRDefault="00803AF2" w:rsidP="0034169A">
      <w:pPr>
        <w:tabs>
          <w:tab w:val="left" w:pos="709"/>
        </w:tabs>
        <w:jc w:val="both"/>
        <w:rPr>
          <w:rFonts w:ascii="Verdana" w:hAnsi="Verdana" w:cs="Arial"/>
          <w:bCs/>
          <w:sz w:val="20"/>
          <w:szCs w:val="20"/>
        </w:rPr>
      </w:pPr>
    </w:p>
    <w:p w14:paraId="7DAC9701" w14:textId="77777777" w:rsidR="00803AF2" w:rsidRDefault="00803AF2" w:rsidP="0034169A">
      <w:pPr>
        <w:tabs>
          <w:tab w:val="left" w:pos="709"/>
        </w:tabs>
        <w:jc w:val="both"/>
        <w:rPr>
          <w:rFonts w:ascii="Verdana" w:hAnsi="Verdana" w:cs="Arial"/>
          <w:bCs/>
          <w:sz w:val="20"/>
          <w:szCs w:val="20"/>
        </w:rPr>
      </w:pPr>
    </w:p>
    <w:p w14:paraId="53BED6D5" w14:textId="3DB99E74" w:rsidR="002B3025" w:rsidRPr="00500111" w:rsidRDefault="002B3025" w:rsidP="00551D66">
      <w:pPr>
        <w:pStyle w:val="Prrafodelista"/>
        <w:numPr>
          <w:ilvl w:val="0"/>
          <w:numId w:val="39"/>
        </w:numPr>
        <w:ind w:left="284" w:hanging="284"/>
        <w:jc w:val="both"/>
        <w:rPr>
          <w:rFonts w:ascii="Verdana" w:hAnsi="Verdana" w:cs="Arial"/>
          <w:b/>
          <w:sz w:val="20"/>
          <w:szCs w:val="20"/>
        </w:rPr>
      </w:pPr>
      <w:r w:rsidRPr="00500111">
        <w:rPr>
          <w:rFonts w:ascii="Verdana" w:hAnsi="Verdana" w:cs="Arial"/>
          <w:b/>
          <w:sz w:val="20"/>
          <w:szCs w:val="20"/>
        </w:rPr>
        <w:lastRenderedPageBreak/>
        <w:t>Crédito de consumo</w:t>
      </w:r>
    </w:p>
    <w:p w14:paraId="56021875" w14:textId="72A946E0" w:rsidR="0034169A" w:rsidRPr="001C6CAB" w:rsidRDefault="0034169A" w:rsidP="0034169A">
      <w:pPr>
        <w:spacing w:after="0"/>
        <w:rPr>
          <w:rFonts w:ascii="Verdana" w:hAnsi="Verdana"/>
          <w:sz w:val="20"/>
          <w:szCs w:val="20"/>
        </w:rPr>
      </w:pPr>
      <w:r w:rsidRPr="001C6CAB">
        <w:rPr>
          <w:rFonts w:ascii="Verdana" w:hAnsi="Verdana"/>
          <w:sz w:val="20"/>
          <w:szCs w:val="20"/>
        </w:rPr>
        <w:t>1.1.3.</w:t>
      </w:r>
      <w:r w:rsidR="00A911EB">
        <w:rPr>
          <w:rFonts w:ascii="Verdana" w:hAnsi="Verdana"/>
          <w:sz w:val="20"/>
          <w:szCs w:val="20"/>
        </w:rPr>
        <w:t>8</w:t>
      </w:r>
      <w:r w:rsidRPr="001C6CAB">
        <w:rPr>
          <w:rFonts w:ascii="Verdana" w:hAnsi="Verdana"/>
          <w:sz w:val="20"/>
          <w:szCs w:val="20"/>
        </w:rPr>
        <w:t>.</w:t>
      </w:r>
    </w:p>
    <w:p w14:paraId="681F2711" w14:textId="5B549653" w:rsidR="00144B9A" w:rsidRPr="000E0892" w:rsidRDefault="002B3025" w:rsidP="000E0892">
      <w:pPr>
        <w:tabs>
          <w:tab w:val="left" w:pos="709"/>
        </w:tabs>
        <w:jc w:val="both"/>
        <w:rPr>
          <w:rFonts w:ascii="Verdana" w:hAnsi="Verdana" w:cs="Arial"/>
          <w:bCs/>
          <w:sz w:val="20"/>
          <w:szCs w:val="20"/>
        </w:rPr>
      </w:pPr>
      <w:r w:rsidRPr="002B3025">
        <w:rPr>
          <w:rFonts w:ascii="Verdana" w:hAnsi="Verdana" w:cs="Arial"/>
          <w:bCs/>
          <w:sz w:val="20"/>
          <w:szCs w:val="20"/>
        </w:rPr>
        <w:t>Se entiende por créditos de consumo, independientemente de su monto, los otorgados a personas naturales para financiar la adquisición de bienes de consumo o el pago de servicios para fines no comerciales o empresariales, distintos a los otorgados bajo la modalidad de microcrédito.</w:t>
      </w:r>
    </w:p>
    <w:p w14:paraId="30F2DF35" w14:textId="5097BC49" w:rsidR="00363B69" w:rsidRPr="001C6CAB" w:rsidRDefault="00363B69" w:rsidP="00363B69">
      <w:pPr>
        <w:spacing w:after="0"/>
        <w:rPr>
          <w:rFonts w:ascii="Verdana" w:hAnsi="Verdana"/>
          <w:sz w:val="20"/>
          <w:szCs w:val="20"/>
        </w:rPr>
      </w:pPr>
      <w:r w:rsidRPr="001C6CAB">
        <w:rPr>
          <w:rFonts w:ascii="Verdana" w:hAnsi="Verdana"/>
          <w:sz w:val="20"/>
          <w:szCs w:val="20"/>
        </w:rPr>
        <w:t>1.1.3.</w:t>
      </w:r>
      <w:r w:rsidR="00A911EB">
        <w:rPr>
          <w:rFonts w:ascii="Verdana" w:hAnsi="Verdana"/>
          <w:sz w:val="20"/>
          <w:szCs w:val="20"/>
        </w:rPr>
        <w:t>9</w:t>
      </w:r>
      <w:r w:rsidRPr="001C6CAB">
        <w:rPr>
          <w:rFonts w:ascii="Verdana" w:hAnsi="Verdana"/>
          <w:sz w:val="20"/>
          <w:szCs w:val="20"/>
        </w:rPr>
        <w:t>.</w:t>
      </w:r>
    </w:p>
    <w:p w14:paraId="2CEB6635" w14:textId="4A4357EC" w:rsidR="00677C0B" w:rsidRDefault="002B3025" w:rsidP="00677C0B">
      <w:pPr>
        <w:tabs>
          <w:tab w:val="left" w:pos="709"/>
        </w:tabs>
        <w:jc w:val="both"/>
        <w:rPr>
          <w:rFonts w:ascii="Verdana" w:hAnsi="Verdana" w:cs="Arial"/>
          <w:bCs/>
          <w:sz w:val="20"/>
          <w:szCs w:val="20"/>
        </w:rPr>
      </w:pPr>
      <w:r w:rsidRPr="002B3025">
        <w:rPr>
          <w:rFonts w:ascii="Verdana" w:hAnsi="Verdana" w:cs="Arial"/>
          <w:bCs/>
          <w:sz w:val="20"/>
          <w:szCs w:val="20"/>
        </w:rPr>
        <w:t xml:space="preserve">El crédito de bajo monto </w:t>
      </w:r>
      <w:r w:rsidRPr="0008526F">
        <w:rPr>
          <w:rFonts w:ascii="Verdana" w:hAnsi="Verdana" w:cs="Arial"/>
          <w:bCs/>
          <w:sz w:val="20"/>
          <w:szCs w:val="20"/>
        </w:rPr>
        <w:t>de que trata el artículo 2.1.16.1.1 del Decreto 2555 de 2010,</w:t>
      </w:r>
      <w:r w:rsidRPr="002B3025">
        <w:rPr>
          <w:rFonts w:ascii="Verdana" w:hAnsi="Verdana" w:cs="Arial"/>
          <w:bCs/>
          <w:sz w:val="20"/>
          <w:szCs w:val="20"/>
        </w:rPr>
        <w:t xml:space="preserve"> corresponderá a aquellas operaciones activas de crédito que cumplan con los montos máximos y características definidas en el Decreto 2555 de 2010 y demás normas concordantes, o en las normas que lo modifiquen, sustituyan o adicionen.</w:t>
      </w:r>
    </w:p>
    <w:p w14:paraId="0095E415" w14:textId="75C1F546" w:rsidR="002B3025" w:rsidRPr="00500111" w:rsidRDefault="002B3025" w:rsidP="00551D66">
      <w:pPr>
        <w:pStyle w:val="Prrafodelista"/>
        <w:numPr>
          <w:ilvl w:val="0"/>
          <w:numId w:val="39"/>
        </w:numPr>
        <w:tabs>
          <w:tab w:val="left" w:pos="284"/>
        </w:tabs>
        <w:ind w:left="284" w:hanging="284"/>
        <w:jc w:val="both"/>
        <w:rPr>
          <w:rFonts w:ascii="Verdana" w:hAnsi="Verdana" w:cs="Arial"/>
          <w:b/>
          <w:sz w:val="20"/>
          <w:szCs w:val="20"/>
        </w:rPr>
      </w:pPr>
      <w:r w:rsidRPr="00500111">
        <w:rPr>
          <w:rFonts w:ascii="Verdana" w:hAnsi="Verdana" w:cs="Arial"/>
          <w:b/>
          <w:sz w:val="20"/>
          <w:szCs w:val="20"/>
        </w:rPr>
        <w:t>Crédito de vivienda y leasing habitacional</w:t>
      </w:r>
    </w:p>
    <w:p w14:paraId="5DBCC8C2" w14:textId="1C854F35" w:rsidR="00677C0B" w:rsidRPr="001C6CAB" w:rsidRDefault="00677C0B" w:rsidP="00677C0B">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A911EB">
        <w:rPr>
          <w:rFonts w:ascii="Verdana" w:hAnsi="Verdana"/>
          <w:sz w:val="20"/>
          <w:szCs w:val="20"/>
        </w:rPr>
        <w:t>0</w:t>
      </w:r>
      <w:r w:rsidRPr="001C6CAB">
        <w:rPr>
          <w:rFonts w:ascii="Verdana" w:hAnsi="Verdana"/>
          <w:sz w:val="20"/>
          <w:szCs w:val="20"/>
        </w:rPr>
        <w:t>.</w:t>
      </w:r>
    </w:p>
    <w:p w14:paraId="63D25DD5" w14:textId="72179258" w:rsidR="002B3025" w:rsidRPr="002B3025" w:rsidRDefault="002B3025" w:rsidP="00B929BB">
      <w:pPr>
        <w:tabs>
          <w:tab w:val="left" w:pos="709"/>
        </w:tabs>
        <w:jc w:val="both"/>
        <w:rPr>
          <w:rFonts w:ascii="Verdana" w:hAnsi="Verdana" w:cs="Arial"/>
          <w:bCs/>
          <w:sz w:val="20"/>
          <w:szCs w:val="20"/>
        </w:rPr>
      </w:pPr>
      <w:r w:rsidRPr="002B3025">
        <w:rPr>
          <w:rFonts w:ascii="Verdana" w:hAnsi="Verdana" w:cs="Arial"/>
          <w:bCs/>
          <w:sz w:val="20"/>
          <w:szCs w:val="20"/>
        </w:rPr>
        <w:t>Se entiende por créditos de vivienda, independientemente del monto, los otorgados a personas naturales para la adquisición de vivienda nueva o usada, o para la construcción de vivienda individual, la reparación, remodelación, subdivisión o mejoramiento de vivienda usada.</w:t>
      </w:r>
    </w:p>
    <w:p w14:paraId="1D23B502" w14:textId="1DAA25DE" w:rsidR="00C81C94" w:rsidRPr="001C6CAB" w:rsidRDefault="00C81C94" w:rsidP="00C81C94">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A911EB">
        <w:rPr>
          <w:rFonts w:ascii="Verdana" w:hAnsi="Verdana"/>
          <w:sz w:val="20"/>
          <w:szCs w:val="20"/>
        </w:rPr>
        <w:t>1</w:t>
      </w:r>
      <w:r w:rsidRPr="001C6CAB">
        <w:rPr>
          <w:rFonts w:ascii="Verdana" w:hAnsi="Verdana"/>
          <w:sz w:val="20"/>
          <w:szCs w:val="20"/>
        </w:rPr>
        <w:t>.</w:t>
      </w:r>
    </w:p>
    <w:p w14:paraId="18669F6B" w14:textId="3D088F81" w:rsidR="002B3025" w:rsidRPr="002B3025" w:rsidRDefault="002B3025" w:rsidP="00B929BB">
      <w:pPr>
        <w:tabs>
          <w:tab w:val="left" w:pos="709"/>
        </w:tabs>
        <w:jc w:val="both"/>
        <w:rPr>
          <w:rFonts w:ascii="Verdana" w:hAnsi="Verdana" w:cs="Arial"/>
          <w:bCs/>
          <w:sz w:val="20"/>
          <w:szCs w:val="20"/>
        </w:rPr>
      </w:pPr>
      <w:r w:rsidRPr="002B3025">
        <w:rPr>
          <w:rFonts w:ascii="Verdana" w:hAnsi="Verdana" w:cs="Arial"/>
          <w:bCs/>
          <w:sz w:val="20"/>
          <w:szCs w:val="20"/>
        </w:rPr>
        <w:t xml:space="preserve">Se entiende por leasing habitacional la </w:t>
      </w:r>
      <w:r w:rsidRPr="0008526F">
        <w:rPr>
          <w:rFonts w:ascii="Verdana" w:hAnsi="Verdana" w:cs="Arial"/>
          <w:bCs/>
          <w:sz w:val="20"/>
          <w:szCs w:val="20"/>
        </w:rPr>
        <w:t xml:space="preserve">definición señalada </w:t>
      </w:r>
      <w:r w:rsidR="0008526F" w:rsidRPr="0008526F">
        <w:rPr>
          <w:rFonts w:ascii="Verdana" w:hAnsi="Verdana" w:cs="Arial"/>
          <w:bCs/>
          <w:sz w:val="20"/>
          <w:szCs w:val="20"/>
        </w:rPr>
        <w:t xml:space="preserve">en el artículo 2.28.1.1.2 del Decreto 2555 de 2010 </w:t>
      </w:r>
      <w:r w:rsidRPr="0008526F">
        <w:rPr>
          <w:rFonts w:ascii="Verdana" w:hAnsi="Verdana" w:cs="Arial"/>
          <w:bCs/>
          <w:sz w:val="20"/>
          <w:szCs w:val="20"/>
        </w:rPr>
        <w:t>y las normas que lo</w:t>
      </w:r>
      <w:r w:rsidRPr="002B3025">
        <w:rPr>
          <w:rFonts w:ascii="Verdana" w:hAnsi="Verdana" w:cs="Arial"/>
          <w:bCs/>
          <w:sz w:val="20"/>
          <w:szCs w:val="20"/>
        </w:rPr>
        <w:t xml:space="preserve"> modifiquen, deroguen o sustituyan.</w:t>
      </w:r>
    </w:p>
    <w:p w14:paraId="2A40459F" w14:textId="5431579E" w:rsidR="00C81C94" w:rsidRPr="001C6CAB" w:rsidRDefault="00C81C94" w:rsidP="00C81C94">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A911EB">
        <w:rPr>
          <w:rFonts w:ascii="Verdana" w:hAnsi="Verdana"/>
          <w:sz w:val="20"/>
          <w:szCs w:val="20"/>
        </w:rPr>
        <w:t>2</w:t>
      </w:r>
      <w:r w:rsidRPr="001C6CAB">
        <w:rPr>
          <w:rFonts w:ascii="Verdana" w:hAnsi="Verdana"/>
          <w:sz w:val="20"/>
          <w:szCs w:val="20"/>
        </w:rPr>
        <w:t>.</w:t>
      </w:r>
    </w:p>
    <w:p w14:paraId="6C25C581" w14:textId="77F0EB50" w:rsidR="00DC4E23" w:rsidRDefault="002B3025" w:rsidP="00500111">
      <w:pPr>
        <w:tabs>
          <w:tab w:val="left" w:pos="709"/>
        </w:tabs>
        <w:jc w:val="both"/>
        <w:rPr>
          <w:rFonts w:ascii="Verdana" w:hAnsi="Verdana" w:cs="Arial"/>
          <w:bCs/>
          <w:sz w:val="20"/>
          <w:szCs w:val="20"/>
        </w:rPr>
      </w:pPr>
      <w:r w:rsidRPr="002B3025">
        <w:rPr>
          <w:rFonts w:ascii="Verdana" w:hAnsi="Verdana" w:cs="Arial"/>
          <w:bCs/>
          <w:sz w:val="20"/>
          <w:szCs w:val="20"/>
        </w:rPr>
        <w:t xml:space="preserve">Estas operaciones deben cumplir </w:t>
      </w:r>
      <w:r w:rsidRPr="0008526F">
        <w:rPr>
          <w:rFonts w:ascii="Verdana" w:hAnsi="Verdana" w:cs="Arial"/>
          <w:bCs/>
          <w:sz w:val="20"/>
          <w:szCs w:val="20"/>
        </w:rPr>
        <w:t>con la normativa que los reglamenta, entre ellas, el artículo 17 de la Ley 546 de 1999, su reglamentación prevista en el Decreto 1077 de 2015, el título 1</w:t>
      </w:r>
      <w:r w:rsidR="00D3384C">
        <w:rPr>
          <w:rFonts w:ascii="Verdana" w:hAnsi="Verdana" w:cs="Arial"/>
          <w:bCs/>
          <w:sz w:val="20"/>
          <w:szCs w:val="20"/>
        </w:rPr>
        <w:t xml:space="preserve"> del</w:t>
      </w:r>
      <w:r w:rsidRPr="0008526F">
        <w:rPr>
          <w:rFonts w:ascii="Verdana" w:hAnsi="Verdana" w:cs="Arial"/>
          <w:bCs/>
          <w:sz w:val="20"/>
          <w:szCs w:val="20"/>
        </w:rPr>
        <w:t xml:space="preserve"> libro 28 de la parte 2 del Decreto 2555 de 2010, y</w:t>
      </w:r>
      <w:r w:rsidR="00D3384C">
        <w:rPr>
          <w:rFonts w:ascii="Verdana" w:hAnsi="Verdana" w:cs="Arial"/>
          <w:bCs/>
          <w:sz w:val="20"/>
          <w:szCs w:val="20"/>
        </w:rPr>
        <w:t xml:space="preserve"> las</w:t>
      </w:r>
      <w:r w:rsidRPr="0008526F">
        <w:rPr>
          <w:rFonts w:ascii="Verdana" w:hAnsi="Verdana" w:cs="Arial"/>
          <w:bCs/>
          <w:sz w:val="20"/>
          <w:szCs w:val="20"/>
        </w:rPr>
        <w:t xml:space="preserve"> demás normas que los modifiquen</w:t>
      </w:r>
      <w:r w:rsidRPr="002B3025">
        <w:rPr>
          <w:rFonts w:ascii="Verdana" w:hAnsi="Verdana" w:cs="Arial"/>
          <w:bCs/>
          <w:sz w:val="20"/>
          <w:szCs w:val="20"/>
        </w:rPr>
        <w:t xml:space="preserve"> y complementen.</w:t>
      </w:r>
    </w:p>
    <w:p w14:paraId="7FA96095" w14:textId="77777777" w:rsidR="00500111" w:rsidRDefault="002B3025" w:rsidP="00551D66">
      <w:pPr>
        <w:pStyle w:val="Prrafodelista"/>
        <w:numPr>
          <w:ilvl w:val="0"/>
          <w:numId w:val="39"/>
        </w:numPr>
        <w:tabs>
          <w:tab w:val="right" w:pos="284"/>
        </w:tabs>
        <w:spacing w:after="0" w:line="240" w:lineRule="auto"/>
        <w:ind w:left="280" w:hanging="280"/>
        <w:contextualSpacing w:val="0"/>
        <w:jc w:val="both"/>
        <w:rPr>
          <w:rFonts w:ascii="Verdana" w:hAnsi="Verdana" w:cs="Arial"/>
          <w:b/>
          <w:sz w:val="20"/>
          <w:szCs w:val="20"/>
        </w:rPr>
      </w:pPr>
      <w:r w:rsidRPr="00DC4E23">
        <w:rPr>
          <w:rFonts w:ascii="Verdana" w:hAnsi="Verdana" w:cs="Arial"/>
          <w:b/>
          <w:sz w:val="20"/>
          <w:szCs w:val="20"/>
        </w:rPr>
        <w:t>Microcrédito</w:t>
      </w:r>
    </w:p>
    <w:p w14:paraId="1DDEABA5" w14:textId="77777777" w:rsidR="00500111" w:rsidRDefault="00500111" w:rsidP="00500111">
      <w:pPr>
        <w:pStyle w:val="Prrafodelista"/>
        <w:tabs>
          <w:tab w:val="right" w:pos="540"/>
        </w:tabs>
        <w:spacing w:after="0" w:line="240" w:lineRule="auto"/>
        <w:ind w:left="567"/>
        <w:contextualSpacing w:val="0"/>
        <w:jc w:val="both"/>
        <w:rPr>
          <w:rFonts w:ascii="Verdana" w:hAnsi="Verdana" w:cs="Arial"/>
          <w:b/>
          <w:sz w:val="20"/>
          <w:szCs w:val="20"/>
        </w:rPr>
      </w:pPr>
    </w:p>
    <w:p w14:paraId="2458E2F7" w14:textId="1FEB3861" w:rsidR="00DC4E23" w:rsidRPr="00500111" w:rsidRDefault="00DC4E23" w:rsidP="00500111">
      <w:pPr>
        <w:tabs>
          <w:tab w:val="right" w:pos="540"/>
        </w:tabs>
        <w:spacing w:after="0" w:line="240" w:lineRule="auto"/>
        <w:jc w:val="both"/>
        <w:rPr>
          <w:rFonts w:ascii="Verdana" w:hAnsi="Verdana" w:cs="Arial"/>
          <w:b/>
          <w:sz w:val="20"/>
          <w:szCs w:val="20"/>
        </w:rPr>
      </w:pPr>
      <w:r w:rsidRPr="00500111">
        <w:rPr>
          <w:rFonts w:ascii="Verdana" w:hAnsi="Verdana"/>
          <w:sz w:val="20"/>
          <w:szCs w:val="20"/>
        </w:rPr>
        <w:t>1.1.3.1</w:t>
      </w:r>
      <w:r w:rsidR="00A911EB" w:rsidRPr="00500111">
        <w:rPr>
          <w:rFonts w:ascii="Verdana" w:hAnsi="Verdana"/>
          <w:sz w:val="20"/>
          <w:szCs w:val="20"/>
        </w:rPr>
        <w:t>3</w:t>
      </w:r>
      <w:r w:rsidRPr="00500111">
        <w:rPr>
          <w:rFonts w:ascii="Verdana" w:hAnsi="Verdana"/>
          <w:sz w:val="20"/>
          <w:szCs w:val="20"/>
        </w:rPr>
        <w:t>.</w:t>
      </w:r>
    </w:p>
    <w:p w14:paraId="7D90E10B" w14:textId="56D6E708" w:rsidR="002B3025" w:rsidRPr="00500111" w:rsidRDefault="002B3025" w:rsidP="00B929BB">
      <w:pPr>
        <w:pStyle w:val="Prrafodelista"/>
        <w:tabs>
          <w:tab w:val="left" w:pos="567"/>
        </w:tabs>
        <w:ind w:left="0"/>
        <w:jc w:val="both"/>
        <w:rPr>
          <w:rFonts w:ascii="Verdana" w:hAnsi="Verdana" w:cs="Arial"/>
          <w:sz w:val="20"/>
          <w:szCs w:val="20"/>
        </w:rPr>
      </w:pPr>
      <w:r w:rsidRPr="12B437D6">
        <w:rPr>
          <w:rFonts w:ascii="Verdana" w:hAnsi="Verdana" w:cs="Arial"/>
          <w:sz w:val="20"/>
          <w:szCs w:val="20"/>
        </w:rPr>
        <w:t xml:space="preserve">Se entiende por microcrédito las operaciones activas de crédito a las cuales se refiere el artículo </w:t>
      </w:r>
      <w:r w:rsidRPr="00D3384C">
        <w:rPr>
          <w:rFonts w:ascii="Verdana" w:hAnsi="Verdana" w:cs="Arial"/>
          <w:sz w:val="20"/>
          <w:szCs w:val="20"/>
        </w:rPr>
        <w:t>39 de la Ley 590 de 2000,</w:t>
      </w:r>
      <w:r w:rsidRPr="12B437D6">
        <w:rPr>
          <w:rFonts w:ascii="Verdana" w:hAnsi="Verdana" w:cs="Arial"/>
          <w:sz w:val="20"/>
          <w:szCs w:val="20"/>
        </w:rPr>
        <w:t xml:space="preserve"> o las normas que la modifiquen, sustituyan o adicionen, así como las realizadas con microempresas en las cuales la principal fuente de pago de la obligación provenga de los ingresos derivados de su actividad.</w:t>
      </w:r>
    </w:p>
    <w:p w14:paraId="5275898B" w14:textId="3F6206C1" w:rsidR="00F755B1" w:rsidRPr="001C6CAB" w:rsidRDefault="00F755B1" w:rsidP="00F755B1">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A911EB">
        <w:rPr>
          <w:rFonts w:ascii="Verdana" w:hAnsi="Verdana"/>
          <w:sz w:val="20"/>
          <w:szCs w:val="20"/>
        </w:rPr>
        <w:t>4</w:t>
      </w:r>
      <w:r w:rsidRPr="001C6CAB">
        <w:rPr>
          <w:rFonts w:ascii="Verdana" w:hAnsi="Verdana"/>
          <w:sz w:val="20"/>
          <w:szCs w:val="20"/>
        </w:rPr>
        <w:t>.</w:t>
      </w:r>
    </w:p>
    <w:p w14:paraId="3A166034" w14:textId="703B226A" w:rsidR="002B3025" w:rsidRPr="002B3025" w:rsidRDefault="002B3025" w:rsidP="12B437D6">
      <w:pPr>
        <w:tabs>
          <w:tab w:val="left" w:pos="567"/>
        </w:tabs>
        <w:jc w:val="both"/>
        <w:rPr>
          <w:rFonts w:ascii="Verdana" w:hAnsi="Verdana" w:cs="Arial"/>
          <w:sz w:val="20"/>
          <w:szCs w:val="20"/>
        </w:rPr>
      </w:pPr>
      <w:r w:rsidRPr="12B437D6">
        <w:rPr>
          <w:rFonts w:ascii="Verdana" w:hAnsi="Verdana" w:cs="Arial"/>
          <w:sz w:val="20"/>
          <w:szCs w:val="20"/>
        </w:rPr>
        <w:t>P</w:t>
      </w:r>
      <w:r w:rsidRPr="00A25D26">
        <w:rPr>
          <w:rFonts w:ascii="Verdana" w:hAnsi="Verdana" w:cs="Arial"/>
          <w:sz w:val="20"/>
          <w:szCs w:val="20"/>
        </w:rPr>
        <w:t>ara los efectos previstos en este capítulo</w:t>
      </w:r>
      <w:r w:rsidR="008E3B5D">
        <w:rPr>
          <w:rFonts w:ascii="Verdana" w:hAnsi="Verdana" w:cs="Arial"/>
          <w:sz w:val="20"/>
          <w:szCs w:val="20"/>
        </w:rPr>
        <w:t>,</w:t>
      </w:r>
      <w:r w:rsidR="000D0C68">
        <w:rPr>
          <w:rFonts w:ascii="Verdana" w:hAnsi="Verdana" w:cs="Arial"/>
          <w:sz w:val="20"/>
          <w:szCs w:val="20"/>
        </w:rPr>
        <w:t xml:space="preserve"> </w:t>
      </w:r>
      <w:r w:rsidR="000D0C68" w:rsidRPr="000D0C68">
        <w:rPr>
          <w:rFonts w:ascii="Verdana" w:hAnsi="Verdana" w:cs="Arial"/>
          <w:sz w:val="20"/>
          <w:szCs w:val="20"/>
        </w:rPr>
        <w:t>las operaciones activas de crédito realizadas con micro</w:t>
      </w:r>
      <w:r w:rsidR="00A3278F">
        <w:rPr>
          <w:rFonts w:ascii="Verdana" w:hAnsi="Verdana" w:cs="Arial"/>
          <w:sz w:val="20"/>
          <w:szCs w:val="20"/>
        </w:rPr>
        <w:t xml:space="preserve"> y pequeñas empresas</w:t>
      </w:r>
      <w:r w:rsidR="00D14CA5">
        <w:rPr>
          <w:rFonts w:ascii="Verdana" w:hAnsi="Verdana" w:cs="Arial"/>
          <w:sz w:val="20"/>
          <w:szCs w:val="20"/>
        </w:rPr>
        <w:t>, en los términos previstos en el Decreto 957 de 2019,</w:t>
      </w:r>
      <w:r w:rsidR="00A3278F">
        <w:rPr>
          <w:rFonts w:ascii="Verdana" w:hAnsi="Verdana" w:cs="Arial"/>
          <w:sz w:val="20"/>
          <w:szCs w:val="20"/>
        </w:rPr>
        <w:t xml:space="preserve"> </w:t>
      </w:r>
      <w:r w:rsidR="000D0C68" w:rsidRPr="000D0C68">
        <w:rPr>
          <w:rFonts w:ascii="Verdana" w:hAnsi="Verdana" w:cs="Arial"/>
          <w:sz w:val="20"/>
          <w:szCs w:val="20"/>
        </w:rPr>
        <w:t>cuyo monto se encuentre entre 25</w:t>
      </w:r>
      <w:r w:rsidRPr="00A25D26">
        <w:rPr>
          <w:rFonts w:ascii="Verdana" w:hAnsi="Verdana" w:cs="Arial"/>
          <w:sz w:val="20"/>
          <w:szCs w:val="20"/>
        </w:rPr>
        <w:t xml:space="preserve"> salarios mínimos mensuales legales vigentes (SMMLV) </w:t>
      </w:r>
      <w:r w:rsidR="000D0C68" w:rsidRPr="000D0C68">
        <w:rPr>
          <w:rFonts w:ascii="Verdana" w:hAnsi="Verdana" w:cs="Arial"/>
          <w:sz w:val="20"/>
          <w:szCs w:val="20"/>
        </w:rPr>
        <w:t>y 120 salarios mínimos mensuales legales vigentes (SMMLV) deberán atender los criterios de vinculación, provisiones y demás aspectos de la gestión del riesgo de crédito previstos para los microcréditos</w:t>
      </w:r>
      <w:r w:rsidR="00CA1076">
        <w:rPr>
          <w:rFonts w:ascii="Verdana" w:hAnsi="Verdana" w:cs="Arial"/>
          <w:sz w:val="20"/>
          <w:szCs w:val="20"/>
        </w:rPr>
        <w:t>, sin perjuicio de que estos créditos sean clasificados en cualquier modalidad para efectos de información financiera</w:t>
      </w:r>
      <w:r w:rsidRPr="12B437D6" w:rsidDel="00C3459D">
        <w:rPr>
          <w:rFonts w:ascii="Verdana" w:hAnsi="Verdana" w:cs="Arial"/>
          <w:sz w:val="20"/>
          <w:szCs w:val="20"/>
        </w:rPr>
        <w:t>.</w:t>
      </w:r>
    </w:p>
    <w:p w14:paraId="70528E72" w14:textId="4AB595A8" w:rsidR="00D3119A" w:rsidRPr="001C6CAB" w:rsidRDefault="00D3119A" w:rsidP="00D3119A">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A911EB">
        <w:rPr>
          <w:rFonts w:ascii="Verdana" w:hAnsi="Verdana"/>
          <w:sz w:val="20"/>
          <w:szCs w:val="20"/>
        </w:rPr>
        <w:t>5</w:t>
      </w:r>
      <w:r w:rsidRPr="001C6CAB">
        <w:rPr>
          <w:rFonts w:ascii="Verdana" w:hAnsi="Verdana"/>
          <w:sz w:val="20"/>
          <w:szCs w:val="20"/>
        </w:rPr>
        <w:t>.</w:t>
      </w:r>
    </w:p>
    <w:p w14:paraId="4BA5AA2B" w14:textId="4FF16788" w:rsidR="00D80EA6" w:rsidRDefault="002B3025" w:rsidP="00A73AD7">
      <w:pPr>
        <w:pStyle w:val="Prrafodelista"/>
        <w:tabs>
          <w:tab w:val="left" w:pos="567"/>
        </w:tabs>
        <w:ind w:left="0"/>
        <w:jc w:val="both"/>
        <w:rPr>
          <w:rFonts w:ascii="Verdana" w:hAnsi="Verdana" w:cs="Arial"/>
          <w:bCs/>
          <w:sz w:val="20"/>
          <w:szCs w:val="20"/>
        </w:rPr>
      </w:pPr>
      <w:r w:rsidRPr="002B3025">
        <w:rPr>
          <w:rFonts w:ascii="Verdana" w:hAnsi="Verdana" w:cs="Arial"/>
          <w:bCs/>
          <w:sz w:val="20"/>
          <w:szCs w:val="20"/>
        </w:rPr>
        <w:t>La definición de microempresa es aquella consagrada en las disposiciones normativas vigentes.</w:t>
      </w:r>
    </w:p>
    <w:p w14:paraId="78321C99" w14:textId="4F098867" w:rsidR="40AB7D04" w:rsidRDefault="40AB7D04" w:rsidP="40AB7D04">
      <w:pPr>
        <w:pStyle w:val="Prrafodelista"/>
        <w:tabs>
          <w:tab w:val="left" w:pos="567"/>
        </w:tabs>
        <w:ind w:left="0"/>
        <w:jc w:val="both"/>
        <w:rPr>
          <w:rFonts w:ascii="Verdana" w:hAnsi="Verdana" w:cs="Arial"/>
          <w:sz w:val="20"/>
          <w:szCs w:val="20"/>
        </w:rPr>
      </w:pPr>
    </w:p>
    <w:p w14:paraId="2B3FA255" w14:textId="19BDADEA" w:rsidR="002B3025" w:rsidRDefault="002B3025" w:rsidP="00A73AD7">
      <w:pPr>
        <w:tabs>
          <w:tab w:val="left" w:pos="0"/>
        </w:tabs>
        <w:spacing w:after="0" w:line="240" w:lineRule="auto"/>
        <w:jc w:val="both"/>
        <w:rPr>
          <w:rFonts w:ascii="Verdana" w:hAnsi="Verdana" w:cs="Arial"/>
          <w:b/>
          <w:sz w:val="20"/>
          <w:szCs w:val="20"/>
        </w:rPr>
      </w:pPr>
      <w:r w:rsidRPr="00D80EA6">
        <w:rPr>
          <w:rFonts w:ascii="Verdana" w:hAnsi="Verdana" w:cs="Arial"/>
          <w:b/>
          <w:sz w:val="20"/>
          <w:szCs w:val="20"/>
        </w:rPr>
        <w:t>Sistema de provisiones</w:t>
      </w:r>
    </w:p>
    <w:p w14:paraId="65D27D39" w14:textId="77777777" w:rsidR="00A73AD7" w:rsidRPr="00A73AD7" w:rsidRDefault="00A73AD7" w:rsidP="00A73AD7">
      <w:pPr>
        <w:tabs>
          <w:tab w:val="left" w:pos="0"/>
        </w:tabs>
        <w:spacing w:after="0" w:line="240" w:lineRule="auto"/>
        <w:jc w:val="both"/>
        <w:rPr>
          <w:rFonts w:ascii="Verdana" w:hAnsi="Verdana" w:cs="Arial"/>
          <w:b/>
          <w:sz w:val="20"/>
          <w:szCs w:val="20"/>
        </w:rPr>
      </w:pPr>
    </w:p>
    <w:p w14:paraId="628B30D0" w14:textId="2069B7C0" w:rsidR="00D80EA6" w:rsidRPr="001C6CAB" w:rsidRDefault="00D80EA6" w:rsidP="00D80EA6">
      <w:pPr>
        <w:spacing w:after="0"/>
        <w:rPr>
          <w:rFonts w:ascii="Verdana" w:hAnsi="Verdana"/>
          <w:sz w:val="20"/>
          <w:szCs w:val="20"/>
        </w:rPr>
      </w:pPr>
      <w:r w:rsidRPr="001C6CAB">
        <w:rPr>
          <w:rFonts w:ascii="Verdana" w:hAnsi="Verdana"/>
          <w:sz w:val="20"/>
          <w:szCs w:val="20"/>
        </w:rPr>
        <w:t>1.1.3.</w:t>
      </w:r>
      <w:r w:rsidR="00A911EB">
        <w:rPr>
          <w:rFonts w:ascii="Verdana" w:hAnsi="Verdana"/>
          <w:sz w:val="20"/>
          <w:szCs w:val="20"/>
        </w:rPr>
        <w:t>16</w:t>
      </w:r>
      <w:r w:rsidRPr="001C6CAB">
        <w:rPr>
          <w:rFonts w:ascii="Verdana" w:hAnsi="Verdana"/>
          <w:sz w:val="20"/>
          <w:szCs w:val="20"/>
        </w:rPr>
        <w:t>.</w:t>
      </w:r>
    </w:p>
    <w:p w14:paraId="024E0445" w14:textId="3657BE31" w:rsidR="00D80EA6" w:rsidRDefault="002B3025" w:rsidP="00F534BE">
      <w:pPr>
        <w:jc w:val="both"/>
        <w:rPr>
          <w:rFonts w:ascii="Verdana" w:hAnsi="Verdana" w:cs="Arial"/>
          <w:bCs/>
          <w:sz w:val="20"/>
          <w:szCs w:val="20"/>
        </w:rPr>
      </w:pPr>
      <w:r w:rsidRPr="002B3025">
        <w:rPr>
          <w:rFonts w:ascii="Verdana" w:hAnsi="Verdana" w:cs="Arial"/>
          <w:bCs/>
          <w:sz w:val="20"/>
          <w:szCs w:val="20"/>
        </w:rPr>
        <w:t>La entidad debe constituir las siguientes provisiones:</w:t>
      </w:r>
    </w:p>
    <w:p w14:paraId="0018F483" w14:textId="776895F6" w:rsidR="002B3025" w:rsidRPr="00D80EA6" w:rsidRDefault="002B3025" w:rsidP="00551D66">
      <w:pPr>
        <w:pStyle w:val="Prrafodelista"/>
        <w:numPr>
          <w:ilvl w:val="0"/>
          <w:numId w:val="39"/>
        </w:numPr>
        <w:tabs>
          <w:tab w:val="left" w:pos="284"/>
        </w:tabs>
        <w:ind w:left="567" w:hanging="567"/>
        <w:jc w:val="both"/>
        <w:rPr>
          <w:rFonts w:ascii="Verdana" w:hAnsi="Verdana" w:cs="Arial"/>
          <w:b/>
          <w:sz w:val="20"/>
          <w:szCs w:val="20"/>
        </w:rPr>
      </w:pPr>
      <w:r w:rsidRPr="00D80EA6">
        <w:rPr>
          <w:rFonts w:ascii="Verdana" w:hAnsi="Verdana" w:cs="Arial"/>
          <w:b/>
          <w:sz w:val="20"/>
          <w:szCs w:val="20"/>
        </w:rPr>
        <w:t>Provisión individual:</w:t>
      </w:r>
    </w:p>
    <w:p w14:paraId="54AFFB31" w14:textId="77919272" w:rsidR="002A698E" w:rsidRPr="001C6CAB" w:rsidRDefault="002A698E" w:rsidP="002A698E">
      <w:pPr>
        <w:spacing w:after="0"/>
        <w:rPr>
          <w:rFonts w:ascii="Verdana" w:hAnsi="Verdana"/>
          <w:sz w:val="20"/>
          <w:szCs w:val="20"/>
        </w:rPr>
      </w:pPr>
      <w:r w:rsidRPr="001C6CAB">
        <w:rPr>
          <w:rFonts w:ascii="Verdana" w:hAnsi="Verdana"/>
          <w:sz w:val="20"/>
          <w:szCs w:val="20"/>
        </w:rPr>
        <w:t>1.1.3.</w:t>
      </w:r>
      <w:r w:rsidR="00A911EB">
        <w:rPr>
          <w:rFonts w:ascii="Verdana" w:hAnsi="Verdana"/>
          <w:sz w:val="20"/>
          <w:szCs w:val="20"/>
        </w:rPr>
        <w:t>17</w:t>
      </w:r>
      <w:r w:rsidRPr="001C6CAB">
        <w:rPr>
          <w:rFonts w:ascii="Verdana" w:hAnsi="Verdana"/>
          <w:sz w:val="20"/>
          <w:szCs w:val="20"/>
        </w:rPr>
        <w:t>.</w:t>
      </w:r>
    </w:p>
    <w:p w14:paraId="4F1947FC" w14:textId="0807DA86" w:rsidR="002B3025" w:rsidRPr="002A698E" w:rsidRDefault="002B3025" w:rsidP="002A698E">
      <w:pPr>
        <w:spacing w:after="0" w:line="240" w:lineRule="auto"/>
        <w:jc w:val="both"/>
        <w:rPr>
          <w:rFonts w:ascii="Verdana" w:hAnsi="Verdana" w:cs="Arial"/>
          <w:bCs/>
          <w:sz w:val="20"/>
          <w:szCs w:val="20"/>
        </w:rPr>
      </w:pPr>
      <w:r w:rsidRPr="002A698E" w:rsidDel="00A1151B">
        <w:rPr>
          <w:rFonts w:ascii="Verdana" w:hAnsi="Verdana" w:cs="Arial"/>
          <w:bCs/>
          <w:sz w:val="20"/>
          <w:szCs w:val="20"/>
        </w:rPr>
        <w:t xml:space="preserve">Para la cartera comercial y de consumo </w:t>
      </w:r>
      <w:r w:rsidR="00872E59">
        <w:rPr>
          <w:rFonts w:ascii="Verdana" w:hAnsi="Verdana" w:cs="Arial"/>
          <w:bCs/>
          <w:sz w:val="20"/>
          <w:szCs w:val="20"/>
        </w:rPr>
        <w:t xml:space="preserve">se </w:t>
      </w:r>
      <w:r w:rsidRPr="002A698E" w:rsidDel="00A1151B">
        <w:rPr>
          <w:rFonts w:ascii="Verdana" w:hAnsi="Verdana" w:cs="Arial"/>
          <w:bCs/>
          <w:sz w:val="20"/>
          <w:szCs w:val="20"/>
        </w:rPr>
        <w:t>debe</w:t>
      </w:r>
      <w:r w:rsidR="00872E59">
        <w:rPr>
          <w:rFonts w:ascii="Verdana" w:hAnsi="Verdana" w:cs="Arial"/>
          <w:bCs/>
          <w:sz w:val="20"/>
          <w:szCs w:val="20"/>
        </w:rPr>
        <w:t>n</w:t>
      </w:r>
      <w:r w:rsidRPr="002A698E" w:rsidDel="00A1151B">
        <w:rPr>
          <w:rFonts w:ascii="Verdana" w:hAnsi="Verdana" w:cs="Arial"/>
          <w:bCs/>
          <w:sz w:val="20"/>
          <w:szCs w:val="20"/>
        </w:rPr>
        <w:t xml:space="preserve"> atender las i</w:t>
      </w:r>
      <w:r w:rsidRPr="002A698E">
        <w:rPr>
          <w:rFonts w:ascii="Verdana" w:hAnsi="Verdana" w:cs="Arial"/>
          <w:bCs/>
          <w:sz w:val="20"/>
          <w:szCs w:val="20"/>
        </w:rPr>
        <w:t>nstrucciones señaladas en</w:t>
      </w:r>
      <w:r w:rsidR="00E7523C">
        <w:rPr>
          <w:rFonts w:ascii="Verdana" w:hAnsi="Verdana" w:cs="Arial"/>
          <w:bCs/>
          <w:sz w:val="20"/>
          <w:szCs w:val="20"/>
        </w:rPr>
        <w:t xml:space="preserve">tre </w:t>
      </w:r>
      <w:r w:rsidRPr="005C10D8">
        <w:rPr>
          <w:rFonts w:ascii="Verdana" w:hAnsi="Verdana" w:cs="Arial"/>
          <w:bCs/>
          <w:sz w:val="20"/>
          <w:szCs w:val="20"/>
        </w:rPr>
        <w:t>l</w:t>
      </w:r>
      <w:r w:rsidR="00E2137C" w:rsidRPr="005C10D8">
        <w:rPr>
          <w:rFonts w:ascii="Verdana" w:hAnsi="Verdana" w:cs="Arial"/>
          <w:bCs/>
          <w:sz w:val="20"/>
          <w:szCs w:val="20"/>
        </w:rPr>
        <w:t>os</w:t>
      </w:r>
      <w:r w:rsidR="00E7523C" w:rsidRPr="005C10D8">
        <w:rPr>
          <w:rFonts w:ascii="Verdana" w:hAnsi="Verdana" w:cs="Arial"/>
          <w:bCs/>
          <w:sz w:val="20"/>
          <w:szCs w:val="20"/>
        </w:rPr>
        <w:t xml:space="preserve"> </w:t>
      </w:r>
      <w:r w:rsidR="001119B0" w:rsidRPr="005C10D8">
        <w:rPr>
          <w:rFonts w:ascii="Verdana" w:hAnsi="Verdana" w:cs="Arial"/>
          <w:bCs/>
          <w:sz w:val="20"/>
          <w:szCs w:val="20"/>
        </w:rPr>
        <w:t>párrafos 1.</w:t>
      </w:r>
      <w:r w:rsidR="001119B0" w:rsidRPr="00CE3A49">
        <w:rPr>
          <w:rFonts w:ascii="Verdana" w:hAnsi="Verdana" w:cs="Arial"/>
          <w:bCs/>
          <w:sz w:val="20"/>
          <w:szCs w:val="20"/>
        </w:rPr>
        <w:t>1.3.</w:t>
      </w:r>
      <w:r w:rsidR="005C10D8" w:rsidRPr="00CE3A49">
        <w:rPr>
          <w:rFonts w:ascii="Verdana" w:hAnsi="Verdana" w:cs="Arial"/>
          <w:bCs/>
          <w:sz w:val="20"/>
          <w:szCs w:val="20"/>
        </w:rPr>
        <w:t>27</w:t>
      </w:r>
      <w:r w:rsidR="001119B0" w:rsidRPr="00CE3A49">
        <w:rPr>
          <w:rFonts w:ascii="Verdana" w:hAnsi="Verdana" w:cs="Arial"/>
          <w:bCs/>
          <w:sz w:val="20"/>
          <w:szCs w:val="20"/>
        </w:rPr>
        <w:t xml:space="preserve">. </w:t>
      </w:r>
      <w:r w:rsidR="00E7523C" w:rsidRPr="00CE3A49">
        <w:rPr>
          <w:rFonts w:ascii="Verdana" w:hAnsi="Verdana" w:cs="Arial"/>
          <w:bCs/>
          <w:sz w:val="20"/>
          <w:szCs w:val="20"/>
        </w:rPr>
        <w:t xml:space="preserve">y </w:t>
      </w:r>
      <w:r w:rsidR="001119B0" w:rsidRPr="00CE3A49">
        <w:rPr>
          <w:rFonts w:ascii="Verdana" w:hAnsi="Verdana" w:cs="Arial"/>
          <w:bCs/>
          <w:sz w:val="20"/>
          <w:szCs w:val="20"/>
        </w:rPr>
        <w:t>1.1.3.</w:t>
      </w:r>
      <w:r w:rsidR="00CE3A49" w:rsidRPr="00CE3A49">
        <w:rPr>
          <w:rFonts w:ascii="Verdana" w:hAnsi="Verdana" w:cs="Arial"/>
          <w:bCs/>
          <w:sz w:val="20"/>
          <w:szCs w:val="20"/>
        </w:rPr>
        <w:t>49</w:t>
      </w:r>
      <w:r w:rsidRPr="00CE3A49">
        <w:rPr>
          <w:rFonts w:ascii="Verdana" w:hAnsi="Verdana" w:cs="Arial"/>
          <w:bCs/>
          <w:sz w:val="20"/>
          <w:szCs w:val="20"/>
        </w:rPr>
        <w:t>.</w:t>
      </w:r>
    </w:p>
    <w:p w14:paraId="45019700" w14:textId="77777777" w:rsidR="000644E1" w:rsidRDefault="000644E1" w:rsidP="000644E1">
      <w:pPr>
        <w:spacing w:after="0"/>
        <w:rPr>
          <w:rFonts w:ascii="Verdana" w:hAnsi="Verdana"/>
          <w:sz w:val="20"/>
          <w:szCs w:val="20"/>
        </w:rPr>
      </w:pPr>
    </w:p>
    <w:p w14:paraId="3E289D31" w14:textId="77777777" w:rsidR="00DE4141" w:rsidRDefault="00DE4141" w:rsidP="000644E1">
      <w:pPr>
        <w:spacing w:after="0"/>
        <w:rPr>
          <w:rFonts w:ascii="Verdana" w:hAnsi="Verdana"/>
          <w:sz w:val="20"/>
          <w:szCs w:val="20"/>
        </w:rPr>
      </w:pPr>
    </w:p>
    <w:p w14:paraId="0CE7D988" w14:textId="5208BA7F" w:rsidR="000644E1" w:rsidRPr="001C6CAB" w:rsidRDefault="000644E1" w:rsidP="000644E1">
      <w:pPr>
        <w:spacing w:after="0"/>
        <w:rPr>
          <w:rFonts w:ascii="Verdana" w:hAnsi="Verdana"/>
          <w:sz w:val="20"/>
          <w:szCs w:val="20"/>
        </w:rPr>
      </w:pPr>
      <w:r w:rsidRPr="001C6CAB">
        <w:rPr>
          <w:rFonts w:ascii="Verdana" w:hAnsi="Verdana"/>
          <w:sz w:val="20"/>
          <w:szCs w:val="20"/>
        </w:rPr>
        <w:t>1.1.3.</w:t>
      </w:r>
      <w:r w:rsidR="00A911EB">
        <w:rPr>
          <w:rFonts w:ascii="Verdana" w:hAnsi="Verdana"/>
          <w:sz w:val="20"/>
          <w:szCs w:val="20"/>
        </w:rPr>
        <w:t>18</w:t>
      </w:r>
      <w:r w:rsidRPr="001C6CAB">
        <w:rPr>
          <w:rFonts w:ascii="Verdana" w:hAnsi="Verdana"/>
          <w:sz w:val="20"/>
          <w:szCs w:val="20"/>
        </w:rPr>
        <w:t>.</w:t>
      </w:r>
    </w:p>
    <w:p w14:paraId="02FF28EE" w14:textId="7517FEAD" w:rsidR="00E150D8" w:rsidRPr="002B3DE5" w:rsidRDefault="002B3025" w:rsidP="002B3DE5">
      <w:pPr>
        <w:spacing w:after="0" w:line="240" w:lineRule="auto"/>
        <w:jc w:val="both"/>
        <w:rPr>
          <w:rFonts w:ascii="Verdana" w:hAnsi="Verdana" w:cs="Arial"/>
          <w:bCs/>
          <w:sz w:val="20"/>
          <w:szCs w:val="20"/>
        </w:rPr>
      </w:pPr>
      <w:r w:rsidRPr="002A698E" w:rsidDel="00A1151B">
        <w:rPr>
          <w:rFonts w:ascii="Verdana" w:hAnsi="Verdana" w:cs="Arial"/>
          <w:bCs/>
          <w:sz w:val="20"/>
          <w:szCs w:val="20"/>
        </w:rPr>
        <w:t xml:space="preserve">Para la cartera de vivienda y microcrédito </w:t>
      </w:r>
      <w:r w:rsidR="00872E59" w:rsidRPr="003E5495">
        <w:rPr>
          <w:rFonts w:ascii="Verdana" w:hAnsi="Verdana" w:cs="Arial"/>
          <w:bCs/>
          <w:sz w:val="20"/>
          <w:szCs w:val="20"/>
        </w:rPr>
        <w:t xml:space="preserve">se </w:t>
      </w:r>
      <w:r w:rsidRPr="003E5495" w:rsidDel="00A1151B">
        <w:rPr>
          <w:rFonts w:ascii="Verdana" w:hAnsi="Verdana" w:cs="Arial"/>
          <w:bCs/>
          <w:sz w:val="20"/>
          <w:szCs w:val="20"/>
        </w:rPr>
        <w:t>debe</w:t>
      </w:r>
      <w:r w:rsidR="00872E59" w:rsidRPr="003E5495">
        <w:rPr>
          <w:rFonts w:ascii="Verdana" w:hAnsi="Verdana" w:cs="Arial"/>
          <w:bCs/>
          <w:sz w:val="20"/>
          <w:szCs w:val="20"/>
        </w:rPr>
        <w:t>n</w:t>
      </w:r>
      <w:r w:rsidRPr="003E5495" w:rsidDel="00A1151B">
        <w:rPr>
          <w:rFonts w:ascii="Verdana" w:hAnsi="Verdana" w:cs="Arial"/>
          <w:bCs/>
          <w:sz w:val="20"/>
          <w:szCs w:val="20"/>
        </w:rPr>
        <w:t xml:space="preserve"> atender las instrucciones señaladas </w:t>
      </w:r>
      <w:r w:rsidR="003E5495" w:rsidRPr="003E5495">
        <w:rPr>
          <w:rFonts w:ascii="Verdana" w:hAnsi="Verdana" w:cs="Arial"/>
          <w:bCs/>
          <w:sz w:val="20"/>
          <w:szCs w:val="20"/>
        </w:rPr>
        <w:t>en el</w:t>
      </w:r>
      <w:r w:rsidRPr="003E5495" w:rsidDel="00A1151B">
        <w:rPr>
          <w:rFonts w:ascii="Verdana" w:hAnsi="Verdana" w:cs="Arial"/>
          <w:bCs/>
          <w:sz w:val="20"/>
          <w:szCs w:val="20"/>
        </w:rPr>
        <w:t xml:space="preserve"> </w:t>
      </w:r>
      <w:r w:rsidR="00A11C58" w:rsidRPr="003E5495">
        <w:rPr>
          <w:rFonts w:ascii="Verdana" w:hAnsi="Verdana" w:cs="Arial"/>
          <w:bCs/>
          <w:sz w:val="20"/>
          <w:szCs w:val="20"/>
        </w:rPr>
        <w:t xml:space="preserve">párrafo </w:t>
      </w:r>
      <w:r w:rsidR="00BB4896" w:rsidRPr="003E5495">
        <w:rPr>
          <w:rFonts w:ascii="Verdana" w:hAnsi="Verdana" w:cs="Arial"/>
          <w:bCs/>
          <w:sz w:val="20"/>
          <w:szCs w:val="20"/>
        </w:rPr>
        <w:t>1.1.3.5</w:t>
      </w:r>
      <w:r w:rsidR="003E5495" w:rsidRPr="003E5495">
        <w:rPr>
          <w:rFonts w:ascii="Verdana" w:hAnsi="Verdana" w:cs="Arial"/>
          <w:bCs/>
          <w:sz w:val="20"/>
          <w:szCs w:val="20"/>
        </w:rPr>
        <w:t>0.</w:t>
      </w:r>
      <w:r w:rsidRPr="003E5495" w:rsidDel="00A1151B">
        <w:rPr>
          <w:rFonts w:ascii="Verdana" w:hAnsi="Verdana" w:cs="Arial"/>
          <w:bCs/>
          <w:sz w:val="20"/>
          <w:szCs w:val="20"/>
        </w:rPr>
        <w:t xml:space="preserve"> </w:t>
      </w:r>
      <w:r w:rsidRPr="003E5495">
        <w:rPr>
          <w:rFonts w:ascii="Verdana" w:hAnsi="Verdana" w:cs="Arial"/>
          <w:bCs/>
          <w:sz w:val="20"/>
          <w:szCs w:val="20"/>
        </w:rPr>
        <w:t xml:space="preserve">de la presente </w:t>
      </w:r>
      <w:r w:rsidR="00872E59" w:rsidRPr="003E5495">
        <w:rPr>
          <w:rFonts w:ascii="Verdana" w:hAnsi="Verdana" w:cs="Arial"/>
          <w:bCs/>
          <w:sz w:val="20"/>
          <w:szCs w:val="20"/>
        </w:rPr>
        <w:t>s</w:t>
      </w:r>
      <w:r w:rsidR="00BB4896" w:rsidRPr="003E5495">
        <w:rPr>
          <w:rFonts w:ascii="Verdana" w:hAnsi="Verdana" w:cs="Arial"/>
          <w:bCs/>
          <w:sz w:val="20"/>
          <w:szCs w:val="20"/>
        </w:rPr>
        <w:t>ección</w:t>
      </w:r>
      <w:r w:rsidRPr="002A698E">
        <w:rPr>
          <w:rFonts w:ascii="Verdana" w:hAnsi="Verdana" w:cs="Arial"/>
          <w:bCs/>
          <w:sz w:val="20"/>
          <w:szCs w:val="20"/>
        </w:rPr>
        <w:t>.</w:t>
      </w:r>
    </w:p>
    <w:p w14:paraId="39C89862" w14:textId="77777777" w:rsidR="00E150D8" w:rsidRDefault="00E150D8" w:rsidP="000644E1">
      <w:pPr>
        <w:spacing w:after="0"/>
        <w:rPr>
          <w:rFonts w:ascii="Verdana" w:hAnsi="Verdana"/>
          <w:sz w:val="20"/>
          <w:szCs w:val="20"/>
        </w:rPr>
      </w:pPr>
    </w:p>
    <w:p w14:paraId="3CC36E9A" w14:textId="11D1D442" w:rsidR="000644E1" w:rsidRPr="001C6CAB" w:rsidRDefault="000644E1" w:rsidP="000644E1">
      <w:pPr>
        <w:spacing w:after="0"/>
        <w:rPr>
          <w:rFonts w:ascii="Verdana" w:hAnsi="Verdana"/>
          <w:sz w:val="20"/>
          <w:szCs w:val="20"/>
        </w:rPr>
      </w:pPr>
      <w:r w:rsidRPr="001C6CAB">
        <w:rPr>
          <w:rFonts w:ascii="Verdana" w:hAnsi="Verdana"/>
          <w:sz w:val="20"/>
          <w:szCs w:val="20"/>
        </w:rPr>
        <w:t>1.1.3.</w:t>
      </w:r>
      <w:r w:rsidR="00A911EB">
        <w:rPr>
          <w:rFonts w:ascii="Verdana" w:hAnsi="Verdana"/>
          <w:sz w:val="20"/>
          <w:szCs w:val="20"/>
        </w:rPr>
        <w:t>19</w:t>
      </w:r>
      <w:r w:rsidRPr="001C6CAB">
        <w:rPr>
          <w:rFonts w:ascii="Verdana" w:hAnsi="Verdana"/>
          <w:sz w:val="20"/>
          <w:szCs w:val="20"/>
        </w:rPr>
        <w:t>.</w:t>
      </w:r>
    </w:p>
    <w:p w14:paraId="236E550A" w14:textId="26313288" w:rsidR="002B3025" w:rsidRDefault="002B3025" w:rsidP="00633787">
      <w:pPr>
        <w:spacing w:after="0" w:line="240" w:lineRule="auto"/>
        <w:jc w:val="both"/>
        <w:rPr>
          <w:rFonts w:ascii="Verdana" w:hAnsi="Verdana" w:cs="Arial"/>
          <w:bCs/>
          <w:sz w:val="20"/>
          <w:szCs w:val="20"/>
        </w:rPr>
      </w:pPr>
      <w:r w:rsidRPr="002A698E" w:rsidDel="00A1151B">
        <w:rPr>
          <w:rFonts w:ascii="Verdana" w:hAnsi="Verdana" w:cs="Arial"/>
          <w:bCs/>
          <w:sz w:val="20"/>
          <w:szCs w:val="20"/>
        </w:rPr>
        <w:t>La</w:t>
      </w:r>
      <w:r w:rsidR="00E150D8">
        <w:rPr>
          <w:rFonts w:ascii="Verdana" w:hAnsi="Verdana" w:cs="Arial"/>
          <w:bCs/>
          <w:sz w:val="20"/>
          <w:szCs w:val="20"/>
        </w:rPr>
        <w:t>s</w:t>
      </w:r>
      <w:r w:rsidRPr="002A698E" w:rsidDel="00A1151B">
        <w:rPr>
          <w:rFonts w:ascii="Verdana" w:hAnsi="Verdana" w:cs="Arial"/>
          <w:bCs/>
          <w:sz w:val="20"/>
          <w:szCs w:val="20"/>
        </w:rPr>
        <w:t xml:space="preserve"> entidad</w:t>
      </w:r>
      <w:r w:rsidR="00E150D8">
        <w:rPr>
          <w:rFonts w:ascii="Verdana" w:hAnsi="Verdana" w:cs="Arial"/>
          <w:bCs/>
          <w:sz w:val="20"/>
          <w:szCs w:val="20"/>
        </w:rPr>
        <w:t>es</w:t>
      </w:r>
      <w:r w:rsidRPr="002A698E" w:rsidDel="00A1151B">
        <w:rPr>
          <w:rFonts w:ascii="Verdana" w:hAnsi="Verdana" w:cs="Arial"/>
          <w:bCs/>
          <w:sz w:val="20"/>
          <w:szCs w:val="20"/>
        </w:rPr>
        <w:t xml:space="preserve"> autorizad</w:t>
      </w:r>
      <w:r w:rsidRPr="002A698E">
        <w:rPr>
          <w:rFonts w:ascii="Verdana" w:hAnsi="Verdana" w:cs="Arial"/>
          <w:bCs/>
          <w:sz w:val="20"/>
          <w:szCs w:val="20"/>
        </w:rPr>
        <w:t>a</w:t>
      </w:r>
      <w:r w:rsidR="00E150D8">
        <w:rPr>
          <w:rFonts w:ascii="Verdana" w:hAnsi="Verdana" w:cs="Arial"/>
          <w:bCs/>
          <w:sz w:val="20"/>
          <w:szCs w:val="20"/>
        </w:rPr>
        <w:t>s</w:t>
      </w:r>
      <w:r w:rsidRPr="002A698E" w:rsidDel="00A1151B">
        <w:rPr>
          <w:rFonts w:ascii="Verdana" w:hAnsi="Verdana" w:cs="Arial"/>
          <w:bCs/>
          <w:sz w:val="20"/>
          <w:szCs w:val="20"/>
        </w:rPr>
        <w:t xml:space="preserve"> para realizar operaciones de redescuento debe</w:t>
      </w:r>
      <w:r w:rsidR="00E150D8">
        <w:rPr>
          <w:rFonts w:ascii="Verdana" w:hAnsi="Verdana" w:cs="Arial"/>
          <w:bCs/>
          <w:sz w:val="20"/>
          <w:szCs w:val="20"/>
        </w:rPr>
        <w:t>n</w:t>
      </w:r>
      <w:r w:rsidRPr="002A698E" w:rsidDel="00A1151B">
        <w:rPr>
          <w:rFonts w:ascii="Verdana" w:hAnsi="Verdana" w:cs="Arial"/>
          <w:bCs/>
          <w:sz w:val="20"/>
          <w:szCs w:val="20"/>
        </w:rPr>
        <w:t xml:space="preserve"> atender las </w:t>
      </w:r>
      <w:r w:rsidRPr="00633787">
        <w:rPr>
          <w:rFonts w:ascii="Verdana" w:hAnsi="Verdana" w:cs="Arial"/>
          <w:bCs/>
          <w:sz w:val="20"/>
          <w:szCs w:val="20"/>
        </w:rPr>
        <w:t xml:space="preserve">instrucciones señaladas en el </w:t>
      </w:r>
      <w:r w:rsidR="00E150D8" w:rsidRPr="00633787">
        <w:rPr>
          <w:rFonts w:ascii="Verdana" w:hAnsi="Verdana" w:cs="Arial"/>
          <w:bCs/>
          <w:sz w:val="20"/>
          <w:szCs w:val="20"/>
        </w:rPr>
        <w:t>a</w:t>
      </w:r>
      <w:r w:rsidRPr="00633787">
        <w:rPr>
          <w:rFonts w:ascii="Verdana" w:hAnsi="Verdana" w:cs="Arial"/>
          <w:bCs/>
          <w:sz w:val="20"/>
          <w:szCs w:val="20"/>
        </w:rPr>
        <w:t xml:space="preserve">nexo 3 </w:t>
      </w:r>
      <w:r w:rsidR="00AC69CE">
        <w:rPr>
          <w:rFonts w:ascii="Verdana" w:hAnsi="Verdana" w:cs="Arial"/>
          <w:bCs/>
          <w:sz w:val="20"/>
          <w:szCs w:val="20"/>
        </w:rPr>
        <w:t>del presente capítulo</w:t>
      </w:r>
      <w:r w:rsidRPr="002A698E">
        <w:rPr>
          <w:rFonts w:ascii="Verdana" w:hAnsi="Verdana" w:cs="Arial"/>
          <w:bCs/>
          <w:sz w:val="20"/>
          <w:szCs w:val="20"/>
        </w:rPr>
        <w:t>.</w:t>
      </w:r>
    </w:p>
    <w:p w14:paraId="34CFB445" w14:textId="77777777" w:rsidR="00C5320F" w:rsidRDefault="00C5320F" w:rsidP="00A87FD1">
      <w:pPr>
        <w:spacing w:after="0"/>
        <w:rPr>
          <w:rFonts w:ascii="Verdana" w:hAnsi="Verdana"/>
          <w:sz w:val="20"/>
          <w:szCs w:val="20"/>
        </w:rPr>
      </w:pPr>
    </w:p>
    <w:p w14:paraId="0F05A93B" w14:textId="36FA20F9" w:rsidR="00A87FD1" w:rsidRPr="001C6CAB" w:rsidRDefault="00A87FD1" w:rsidP="00A87FD1">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A911EB">
        <w:rPr>
          <w:rFonts w:ascii="Verdana" w:hAnsi="Verdana"/>
          <w:sz w:val="20"/>
          <w:szCs w:val="20"/>
        </w:rPr>
        <w:t>0</w:t>
      </w:r>
      <w:r w:rsidRPr="001C6CAB">
        <w:rPr>
          <w:rFonts w:ascii="Verdana" w:hAnsi="Verdana"/>
          <w:sz w:val="20"/>
          <w:szCs w:val="20"/>
        </w:rPr>
        <w:t>.</w:t>
      </w:r>
    </w:p>
    <w:p w14:paraId="5AC12950" w14:textId="3A9891AF" w:rsidR="002B3025" w:rsidRPr="002A698E" w:rsidRDefault="002B3025" w:rsidP="12B437D6">
      <w:pPr>
        <w:spacing w:after="0" w:line="240" w:lineRule="auto"/>
        <w:jc w:val="both"/>
        <w:rPr>
          <w:rFonts w:ascii="Verdana" w:hAnsi="Verdana" w:cs="Arial"/>
          <w:sz w:val="20"/>
          <w:szCs w:val="20"/>
        </w:rPr>
      </w:pPr>
      <w:r w:rsidRPr="12B437D6">
        <w:rPr>
          <w:rFonts w:ascii="Verdana" w:hAnsi="Verdana" w:cs="Arial"/>
          <w:sz w:val="20"/>
          <w:szCs w:val="20"/>
        </w:rPr>
        <w:t xml:space="preserve">Para los créditos a empleados </w:t>
      </w:r>
      <w:r w:rsidRPr="002C642E">
        <w:rPr>
          <w:rFonts w:ascii="Verdana" w:hAnsi="Verdana" w:cs="Arial"/>
          <w:sz w:val="20"/>
          <w:szCs w:val="20"/>
        </w:rPr>
        <w:t>otorgados en virtud de la relación laboral existente, se deben atender las instrucciones señaladas en</w:t>
      </w:r>
      <w:r w:rsidR="00223D62" w:rsidRPr="002C642E">
        <w:rPr>
          <w:rFonts w:ascii="Verdana" w:hAnsi="Verdana" w:cs="Arial"/>
          <w:sz w:val="20"/>
          <w:szCs w:val="20"/>
        </w:rPr>
        <w:t>tre los</w:t>
      </w:r>
      <w:r w:rsidR="00E63140">
        <w:rPr>
          <w:rFonts w:ascii="Verdana" w:hAnsi="Verdana" w:cs="Arial"/>
          <w:sz w:val="20"/>
          <w:szCs w:val="20"/>
        </w:rPr>
        <w:t xml:space="preserve"> párrafos </w:t>
      </w:r>
      <w:r w:rsidR="00CA726A" w:rsidRPr="002C642E">
        <w:rPr>
          <w:rFonts w:ascii="Verdana" w:hAnsi="Verdana" w:cs="Arial"/>
          <w:sz w:val="20"/>
          <w:szCs w:val="20"/>
        </w:rPr>
        <w:t>1.1.A2.4 y 1.1.A2.13., así como entre los párrafos</w:t>
      </w:r>
      <w:r w:rsidR="00D3047D">
        <w:rPr>
          <w:rFonts w:ascii="Verdana" w:hAnsi="Verdana" w:cs="Arial"/>
          <w:sz w:val="20"/>
          <w:szCs w:val="20"/>
        </w:rPr>
        <w:t xml:space="preserve"> </w:t>
      </w:r>
      <w:r w:rsidR="00CA726A" w:rsidRPr="002C642E">
        <w:rPr>
          <w:rFonts w:ascii="Verdana" w:hAnsi="Verdana" w:cs="Arial"/>
          <w:sz w:val="20"/>
          <w:szCs w:val="20"/>
        </w:rPr>
        <w:t>1.1.A2.</w:t>
      </w:r>
      <w:r w:rsidR="002C642E" w:rsidRPr="002C642E">
        <w:rPr>
          <w:rFonts w:ascii="Verdana" w:hAnsi="Verdana" w:cs="Arial"/>
          <w:sz w:val="20"/>
          <w:szCs w:val="20"/>
        </w:rPr>
        <w:t>15 y 1.1.A2.20</w:t>
      </w:r>
      <w:r w:rsidR="00D95C70">
        <w:rPr>
          <w:rFonts w:ascii="Verdana" w:hAnsi="Verdana" w:cs="Arial"/>
          <w:sz w:val="20"/>
          <w:szCs w:val="20"/>
        </w:rPr>
        <w:t>, del anexo 2</w:t>
      </w:r>
      <w:r w:rsidRPr="002C642E">
        <w:rPr>
          <w:rFonts w:ascii="Verdana" w:hAnsi="Verdana" w:cs="Arial"/>
          <w:sz w:val="20"/>
          <w:szCs w:val="20"/>
        </w:rPr>
        <w:t>. Una vez la relación laboral finalice, estos créditos se deben provisionar atendiendo</w:t>
      </w:r>
      <w:r w:rsidRPr="12B437D6">
        <w:rPr>
          <w:rFonts w:ascii="Verdana" w:hAnsi="Verdana" w:cs="Arial"/>
          <w:sz w:val="20"/>
          <w:szCs w:val="20"/>
        </w:rPr>
        <w:t xml:space="preserve"> las instrucciones aplicables a la cartera de crédito de la entidad. </w:t>
      </w:r>
    </w:p>
    <w:p w14:paraId="751C70B2" w14:textId="77777777" w:rsidR="000A0D3A" w:rsidRDefault="000A0D3A" w:rsidP="002A698E">
      <w:pPr>
        <w:spacing w:after="0" w:line="240" w:lineRule="auto"/>
        <w:jc w:val="both"/>
        <w:rPr>
          <w:rFonts w:ascii="Verdana" w:hAnsi="Verdana" w:cs="Arial"/>
          <w:bCs/>
          <w:sz w:val="20"/>
          <w:szCs w:val="20"/>
        </w:rPr>
      </w:pPr>
    </w:p>
    <w:p w14:paraId="118955F7" w14:textId="183F5163" w:rsidR="000A0D3A" w:rsidRPr="001C6CAB" w:rsidRDefault="000A0D3A" w:rsidP="000A0D3A">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A911EB">
        <w:rPr>
          <w:rFonts w:ascii="Verdana" w:hAnsi="Verdana"/>
          <w:sz w:val="20"/>
          <w:szCs w:val="20"/>
        </w:rPr>
        <w:t>1</w:t>
      </w:r>
      <w:r w:rsidRPr="001C6CAB">
        <w:rPr>
          <w:rFonts w:ascii="Verdana" w:hAnsi="Verdana"/>
          <w:sz w:val="20"/>
          <w:szCs w:val="20"/>
        </w:rPr>
        <w:t>.</w:t>
      </w:r>
    </w:p>
    <w:p w14:paraId="1B738A37" w14:textId="2B85A5AA" w:rsidR="002B3025" w:rsidRPr="002A698E" w:rsidRDefault="002B3025" w:rsidP="002A698E">
      <w:pPr>
        <w:spacing w:after="0" w:line="240" w:lineRule="auto"/>
        <w:jc w:val="both"/>
        <w:rPr>
          <w:rFonts w:ascii="Verdana" w:hAnsi="Verdana" w:cs="Arial"/>
          <w:bCs/>
          <w:sz w:val="20"/>
          <w:szCs w:val="20"/>
        </w:rPr>
      </w:pPr>
      <w:r w:rsidRPr="002A698E">
        <w:rPr>
          <w:rFonts w:ascii="Verdana" w:hAnsi="Verdana" w:cs="Arial"/>
          <w:bCs/>
          <w:sz w:val="20"/>
          <w:szCs w:val="20"/>
        </w:rPr>
        <w:t>Las entidades señaladas en</w:t>
      </w:r>
      <w:r w:rsidR="00A43CD6">
        <w:rPr>
          <w:rFonts w:ascii="Verdana" w:hAnsi="Verdana" w:cs="Arial"/>
          <w:bCs/>
          <w:sz w:val="20"/>
          <w:szCs w:val="20"/>
        </w:rPr>
        <w:t xml:space="preserve"> el literal (c) del párrafo 1.1.3.3. </w:t>
      </w:r>
      <w:r w:rsidRPr="002A698E">
        <w:rPr>
          <w:rFonts w:ascii="Verdana" w:hAnsi="Verdana" w:cs="Arial"/>
          <w:bCs/>
          <w:sz w:val="20"/>
          <w:szCs w:val="20"/>
        </w:rPr>
        <w:t xml:space="preserve">deben </w:t>
      </w:r>
      <w:r w:rsidR="00F6610A">
        <w:rPr>
          <w:rFonts w:ascii="Verdana" w:hAnsi="Verdana" w:cs="Arial"/>
          <w:bCs/>
          <w:sz w:val="20"/>
          <w:szCs w:val="20"/>
        </w:rPr>
        <w:t>cumplir con l</w:t>
      </w:r>
      <w:r w:rsidR="006E43E9">
        <w:rPr>
          <w:rFonts w:ascii="Verdana" w:hAnsi="Verdana" w:cs="Arial"/>
          <w:bCs/>
          <w:sz w:val="20"/>
          <w:szCs w:val="20"/>
        </w:rPr>
        <w:t xml:space="preserve">as instrucciones de </w:t>
      </w:r>
      <w:r w:rsidRPr="002A698E">
        <w:rPr>
          <w:rFonts w:ascii="Verdana" w:hAnsi="Verdana" w:cs="Arial"/>
          <w:bCs/>
          <w:sz w:val="20"/>
          <w:szCs w:val="20"/>
        </w:rPr>
        <w:t>provision</w:t>
      </w:r>
      <w:r w:rsidR="006E43E9">
        <w:rPr>
          <w:rFonts w:ascii="Verdana" w:hAnsi="Verdana" w:cs="Arial"/>
          <w:bCs/>
          <w:sz w:val="20"/>
          <w:szCs w:val="20"/>
        </w:rPr>
        <w:t xml:space="preserve">es </w:t>
      </w:r>
      <w:r w:rsidRPr="002A698E">
        <w:rPr>
          <w:rFonts w:ascii="Verdana" w:hAnsi="Verdana" w:cs="Arial"/>
          <w:bCs/>
          <w:sz w:val="20"/>
          <w:szCs w:val="20"/>
        </w:rPr>
        <w:t xml:space="preserve">de acuerdo con las </w:t>
      </w:r>
      <w:r w:rsidRPr="00951ADE">
        <w:rPr>
          <w:rFonts w:ascii="Verdana" w:hAnsi="Verdana" w:cs="Arial"/>
          <w:bCs/>
          <w:sz w:val="20"/>
          <w:szCs w:val="20"/>
        </w:rPr>
        <w:t xml:space="preserve">instrucciones señaladas en el </w:t>
      </w:r>
      <w:r w:rsidR="00871E5B" w:rsidRPr="00951ADE">
        <w:rPr>
          <w:rFonts w:ascii="Verdana" w:hAnsi="Verdana" w:cs="Arial"/>
          <w:bCs/>
          <w:sz w:val="20"/>
          <w:szCs w:val="20"/>
        </w:rPr>
        <w:t>párrafo 1.1.3.5</w:t>
      </w:r>
      <w:r w:rsidR="00951ADE">
        <w:rPr>
          <w:rFonts w:ascii="Verdana" w:hAnsi="Verdana" w:cs="Arial"/>
          <w:bCs/>
          <w:sz w:val="20"/>
          <w:szCs w:val="20"/>
        </w:rPr>
        <w:t>0.</w:t>
      </w:r>
      <w:r w:rsidRPr="00951ADE">
        <w:rPr>
          <w:rFonts w:ascii="Verdana" w:hAnsi="Verdana" w:cs="Arial"/>
          <w:bCs/>
          <w:sz w:val="20"/>
          <w:szCs w:val="20"/>
        </w:rPr>
        <w:t xml:space="preserve"> de la presente</w:t>
      </w:r>
      <w:r w:rsidRPr="002A698E">
        <w:rPr>
          <w:rFonts w:ascii="Verdana" w:hAnsi="Verdana" w:cs="Arial"/>
          <w:bCs/>
          <w:sz w:val="20"/>
          <w:szCs w:val="20"/>
        </w:rPr>
        <w:t xml:space="preserve"> </w:t>
      </w:r>
      <w:r w:rsidR="00951ADE">
        <w:rPr>
          <w:rFonts w:ascii="Verdana" w:hAnsi="Verdana" w:cs="Arial"/>
          <w:bCs/>
          <w:sz w:val="20"/>
          <w:szCs w:val="20"/>
        </w:rPr>
        <w:t>s</w:t>
      </w:r>
      <w:r w:rsidR="00871E5B">
        <w:rPr>
          <w:rFonts w:ascii="Verdana" w:hAnsi="Verdana" w:cs="Arial"/>
          <w:bCs/>
          <w:sz w:val="20"/>
          <w:szCs w:val="20"/>
        </w:rPr>
        <w:t>ección</w:t>
      </w:r>
      <w:r w:rsidRPr="002A698E">
        <w:rPr>
          <w:rFonts w:ascii="Verdana" w:hAnsi="Verdana" w:cs="Arial"/>
          <w:bCs/>
          <w:sz w:val="20"/>
          <w:szCs w:val="20"/>
        </w:rPr>
        <w:t>.</w:t>
      </w:r>
    </w:p>
    <w:p w14:paraId="0D697951" w14:textId="77777777" w:rsidR="000A0D3A" w:rsidRDefault="000A0D3A" w:rsidP="00B929BB">
      <w:pPr>
        <w:pStyle w:val="Prrafodelista"/>
        <w:tabs>
          <w:tab w:val="left" w:pos="284"/>
        </w:tabs>
        <w:ind w:left="0"/>
        <w:jc w:val="both"/>
        <w:rPr>
          <w:rFonts w:ascii="Verdana" w:hAnsi="Verdana" w:cs="Arial"/>
          <w:bCs/>
          <w:sz w:val="20"/>
          <w:szCs w:val="20"/>
        </w:rPr>
      </w:pPr>
    </w:p>
    <w:p w14:paraId="6FD65FBA" w14:textId="5430A041" w:rsidR="002B3025" w:rsidRPr="00F534BE" w:rsidRDefault="002B3025" w:rsidP="00551D66">
      <w:pPr>
        <w:pStyle w:val="Prrafodelista"/>
        <w:numPr>
          <w:ilvl w:val="0"/>
          <w:numId w:val="39"/>
        </w:numPr>
        <w:tabs>
          <w:tab w:val="left" w:pos="284"/>
        </w:tabs>
        <w:ind w:left="567" w:hanging="567"/>
        <w:jc w:val="both"/>
        <w:rPr>
          <w:rFonts w:ascii="Verdana" w:hAnsi="Verdana" w:cs="Arial"/>
          <w:b/>
          <w:sz w:val="20"/>
          <w:szCs w:val="20"/>
        </w:rPr>
      </w:pPr>
      <w:r w:rsidRPr="000A0D3A">
        <w:rPr>
          <w:rFonts w:ascii="Verdana" w:hAnsi="Verdana" w:cs="Arial"/>
          <w:b/>
          <w:sz w:val="20"/>
          <w:szCs w:val="20"/>
        </w:rPr>
        <w:t>Provisión general:</w:t>
      </w:r>
    </w:p>
    <w:p w14:paraId="084F92A3" w14:textId="43203167" w:rsidR="000A1C73" w:rsidRPr="001C6CAB" w:rsidRDefault="000A1C73" w:rsidP="000A1C73">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A911EB">
        <w:rPr>
          <w:rFonts w:ascii="Verdana" w:hAnsi="Verdana"/>
          <w:sz w:val="20"/>
          <w:szCs w:val="20"/>
        </w:rPr>
        <w:t>2</w:t>
      </w:r>
      <w:r w:rsidRPr="001C6CAB">
        <w:rPr>
          <w:rFonts w:ascii="Verdana" w:hAnsi="Verdana"/>
          <w:sz w:val="20"/>
          <w:szCs w:val="20"/>
        </w:rPr>
        <w:t>.</w:t>
      </w:r>
    </w:p>
    <w:p w14:paraId="0E2366F9" w14:textId="2055EFCD" w:rsidR="002B3025" w:rsidRPr="002B3025" w:rsidRDefault="002B3025" w:rsidP="00B929BB">
      <w:pPr>
        <w:jc w:val="both"/>
        <w:rPr>
          <w:rFonts w:ascii="Verdana" w:hAnsi="Verdana" w:cs="Arial"/>
          <w:bCs/>
          <w:sz w:val="20"/>
          <w:szCs w:val="20"/>
        </w:rPr>
      </w:pPr>
      <w:r w:rsidRPr="002B3025">
        <w:rPr>
          <w:rFonts w:ascii="Verdana" w:hAnsi="Verdana" w:cs="Arial"/>
          <w:bCs/>
          <w:sz w:val="20"/>
          <w:szCs w:val="20"/>
        </w:rPr>
        <w:t xml:space="preserve">La provisión general debe constituirse siempre que en el cálculo de la provisión individual de la cartera de créditos y operaciones de redescuento no incorporen componentes contracíclicos de acuerdo con las instrucciones señaladas en la presente </w:t>
      </w:r>
      <w:r w:rsidR="00227591">
        <w:rPr>
          <w:rFonts w:ascii="Verdana" w:hAnsi="Verdana" w:cs="Arial"/>
          <w:bCs/>
          <w:sz w:val="20"/>
          <w:szCs w:val="20"/>
        </w:rPr>
        <w:t>p</w:t>
      </w:r>
      <w:r w:rsidRPr="002B3025">
        <w:rPr>
          <w:rFonts w:ascii="Verdana" w:hAnsi="Verdana" w:cs="Arial"/>
          <w:bCs/>
          <w:sz w:val="20"/>
          <w:szCs w:val="20"/>
        </w:rPr>
        <w:t>arte.</w:t>
      </w:r>
    </w:p>
    <w:p w14:paraId="634C39E6" w14:textId="2E3698B2" w:rsidR="000A1C73" w:rsidRPr="001C6CAB" w:rsidRDefault="000A1C73" w:rsidP="000A1C73">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A911EB">
        <w:rPr>
          <w:rFonts w:ascii="Verdana" w:hAnsi="Verdana"/>
          <w:sz w:val="20"/>
          <w:szCs w:val="20"/>
        </w:rPr>
        <w:t>3</w:t>
      </w:r>
      <w:r w:rsidRPr="001C6CAB">
        <w:rPr>
          <w:rFonts w:ascii="Verdana" w:hAnsi="Verdana"/>
          <w:sz w:val="20"/>
          <w:szCs w:val="20"/>
        </w:rPr>
        <w:t>.</w:t>
      </w:r>
    </w:p>
    <w:p w14:paraId="3EAD5215" w14:textId="56173517" w:rsidR="002B3025" w:rsidRPr="00E61F3C" w:rsidRDefault="002B3025" w:rsidP="00B929BB">
      <w:pPr>
        <w:jc w:val="both"/>
        <w:rPr>
          <w:rFonts w:ascii="Verdana" w:hAnsi="Verdana"/>
          <w:bCs/>
          <w:sz w:val="20"/>
          <w:szCs w:val="20"/>
          <w:highlight w:val="yellow"/>
        </w:rPr>
      </w:pPr>
      <w:r w:rsidRPr="002B3025">
        <w:rPr>
          <w:rFonts w:ascii="Verdana" w:hAnsi="Verdana" w:cs="Arial"/>
          <w:bCs/>
          <w:sz w:val="20"/>
          <w:szCs w:val="20"/>
        </w:rPr>
        <w:t xml:space="preserve">Cuando se incorporen componentes contracíclicos en virtud de la aplicación de modelos internos no objetados, del modelo de referencia, o </w:t>
      </w:r>
      <w:r w:rsidRPr="002B3025">
        <w:rPr>
          <w:rFonts w:ascii="Verdana" w:hAnsi="Verdana"/>
          <w:bCs/>
          <w:sz w:val="20"/>
          <w:szCs w:val="20"/>
        </w:rPr>
        <w:t>metodologías propias de estimación de las provisiones de las entida</w:t>
      </w:r>
      <w:r w:rsidRPr="0043346A">
        <w:rPr>
          <w:rFonts w:ascii="Verdana" w:hAnsi="Verdana"/>
          <w:bCs/>
          <w:sz w:val="20"/>
          <w:szCs w:val="20"/>
        </w:rPr>
        <w:t xml:space="preserve">des mencionadas </w:t>
      </w:r>
      <w:r w:rsidR="00064A63" w:rsidRPr="0043346A">
        <w:rPr>
          <w:rFonts w:ascii="Verdana" w:hAnsi="Verdana"/>
          <w:bCs/>
          <w:sz w:val="20"/>
          <w:szCs w:val="20"/>
        </w:rPr>
        <w:t xml:space="preserve">en </w:t>
      </w:r>
      <w:r w:rsidR="0043346A" w:rsidRPr="0043346A">
        <w:rPr>
          <w:rFonts w:ascii="Verdana" w:hAnsi="Verdana"/>
          <w:bCs/>
          <w:sz w:val="20"/>
          <w:szCs w:val="20"/>
        </w:rPr>
        <w:t xml:space="preserve">el párrafo 1.1.A3.2 de la </w:t>
      </w:r>
      <w:r w:rsidR="006317A5">
        <w:rPr>
          <w:rFonts w:ascii="Verdana" w:hAnsi="Verdana"/>
          <w:bCs/>
          <w:sz w:val="20"/>
          <w:szCs w:val="20"/>
        </w:rPr>
        <w:t>CBF</w:t>
      </w:r>
      <w:r w:rsidRPr="0043346A">
        <w:rPr>
          <w:rFonts w:ascii="Verdana" w:hAnsi="Verdana"/>
          <w:bCs/>
          <w:sz w:val="20"/>
          <w:szCs w:val="20"/>
        </w:rPr>
        <w:t xml:space="preserve">, </w:t>
      </w:r>
      <w:r w:rsidRPr="0043346A">
        <w:rPr>
          <w:rFonts w:ascii="Verdana" w:hAnsi="Verdana" w:cs="Arial"/>
          <w:bCs/>
          <w:sz w:val="20"/>
          <w:szCs w:val="20"/>
        </w:rPr>
        <w:t>la entidad puede destinar proporcionalmente</w:t>
      </w:r>
      <w:r w:rsidRPr="002B3025">
        <w:rPr>
          <w:rFonts w:ascii="Verdana" w:hAnsi="Verdana" w:cs="Arial"/>
          <w:bCs/>
          <w:sz w:val="20"/>
          <w:szCs w:val="20"/>
        </w:rPr>
        <w:t xml:space="preserve"> las provisiones generales efectuadas antes de la aplicación de dichos modelos, a la constitución de las provisiones individuales.</w:t>
      </w:r>
    </w:p>
    <w:p w14:paraId="4C7143FE" w14:textId="50BB02FB" w:rsidR="00A618BA" w:rsidRPr="001C6CAB" w:rsidRDefault="00A618BA" w:rsidP="00A618BA">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A911EB">
        <w:rPr>
          <w:rFonts w:ascii="Verdana" w:hAnsi="Verdana"/>
          <w:sz w:val="20"/>
          <w:szCs w:val="20"/>
        </w:rPr>
        <w:t>4</w:t>
      </w:r>
      <w:r w:rsidRPr="001C6CAB">
        <w:rPr>
          <w:rFonts w:ascii="Verdana" w:hAnsi="Verdana"/>
          <w:sz w:val="20"/>
          <w:szCs w:val="20"/>
        </w:rPr>
        <w:t>.</w:t>
      </w:r>
    </w:p>
    <w:p w14:paraId="2A36C8F5" w14:textId="595D77E9" w:rsidR="002B3025" w:rsidRPr="002B3025" w:rsidRDefault="002B3025" w:rsidP="00B929BB">
      <w:pPr>
        <w:jc w:val="both"/>
        <w:rPr>
          <w:rFonts w:ascii="Verdana" w:hAnsi="Verdana" w:cs="Arial"/>
          <w:bCs/>
          <w:sz w:val="20"/>
          <w:szCs w:val="20"/>
        </w:rPr>
      </w:pPr>
      <w:r w:rsidRPr="002B3025">
        <w:rPr>
          <w:rFonts w:ascii="Verdana" w:hAnsi="Verdana" w:cs="Arial"/>
          <w:bCs/>
          <w:sz w:val="20"/>
          <w:szCs w:val="20"/>
        </w:rPr>
        <w:t xml:space="preserve">La provisión general corresponde como mínimo al 1% del total de la cartera de créditos bruta, incluida las operaciones de redescuento, cuando aplique. Para los contratos de leasing, </w:t>
      </w:r>
      <w:r w:rsidR="00690889">
        <w:rPr>
          <w:rFonts w:ascii="Verdana" w:hAnsi="Verdana" w:cs="Arial"/>
          <w:bCs/>
          <w:sz w:val="20"/>
          <w:szCs w:val="20"/>
        </w:rPr>
        <w:t xml:space="preserve">se </w:t>
      </w:r>
      <w:r w:rsidRPr="002B3025">
        <w:rPr>
          <w:rFonts w:ascii="Verdana" w:hAnsi="Verdana" w:cs="Arial"/>
          <w:bCs/>
          <w:sz w:val="20"/>
          <w:szCs w:val="20"/>
        </w:rPr>
        <w:t xml:space="preserve">debe </w:t>
      </w:r>
      <w:r w:rsidR="005E0193">
        <w:rPr>
          <w:rFonts w:ascii="Verdana" w:hAnsi="Verdana" w:cs="Arial"/>
          <w:bCs/>
          <w:sz w:val="20"/>
          <w:szCs w:val="20"/>
        </w:rPr>
        <w:t xml:space="preserve">efectuar </w:t>
      </w:r>
      <w:r w:rsidRPr="002B3025">
        <w:rPr>
          <w:rFonts w:ascii="Verdana" w:hAnsi="Verdana" w:cs="Arial"/>
          <w:bCs/>
          <w:sz w:val="20"/>
          <w:szCs w:val="20"/>
        </w:rPr>
        <w:t>sobre el valor de los bienes dados en leasing deducida la depreciación y amortización.</w:t>
      </w:r>
    </w:p>
    <w:p w14:paraId="301A8CDB" w14:textId="6C97B6A0" w:rsidR="00B44C13" w:rsidRPr="001C6CAB" w:rsidRDefault="00B44C13" w:rsidP="00B44C13">
      <w:pPr>
        <w:spacing w:after="0"/>
        <w:rPr>
          <w:rFonts w:ascii="Verdana" w:hAnsi="Verdana"/>
          <w:sz w:val="20"/>
          <w:szCs w:val="20"/>
        </w:rPr>
      </w:pPr>
      <w:r w:rsidRPr="001C6CAB">
        <w:rPr>
          <w:rFonts w:ascii="Verdana" w:hAnsi="Verdana"/>
          <w:sz w:val="20"/>
          <w:szCs w:val="20"/>
        </w:rPr>
        <w:t>1.1.3.</w:t>
      </w:r>
      <w:r w:rsidR="00E7545B">
        <w:rPr>
          <w:rFonts w:ascii="Verdana" w:hAnsi="Verdana"/>
          <w:sz w:val="20"/>
          <w:szCs w:val="20"/>
        </w:rPr>
        <w:t>2</w:t>
      </w:r>
      <w:r w:rsidR="00A911EB">
        <w:rPr>
          <w:rFonts w:ascii="Verdana" w:hAnsi="Verdana"/>
          <w:sz w:val="20"/>
          <w:szCs w:val="20"/>
        </w:rPr>
        <w:t>5</w:t>
      </w:r>
      <w:r w:rsidRPr="001C6CAB">
        <w:rPr>
          <w:rFonts w:ascii="Verdana" w:hAnsi="Verdana"/>
          <w:sz w:val="20"/>
          <w:szCs w:val="20"/>
        </w:rPr>
        <w:t>.</w:t>
      </w:r>
    </w:p>
    <w:p w14:paraId="21EF798C" w14:textId="04A681E4" w:rsidR="002B3025" w:rsidRPr="002B3025" w:rsidRDefault="002B3025" w:rsidP="12B437D6">
      <w:pPr>
        <w:jc w:val="both"/>
        <w:rPr>
          <w:rFonts w:ascii="Verdana" w:hAnsi="Verdana" w:cs="Arial"/>
          <w:sz w:val="20"/>
          <w:szCs w:val="20"/>
        </w:rPr>
      </w:pPr>
      <w:r w:rsidRPr="12B437D6">
        <w:rPr>
          <w:rFonts w:ascii="Verdana" w:hAnsi="Verdana" w:cs="Arial"/>
          <w:sz w:val="20"/>
          <w:szCs w:val="20"/>
        </w:rPr>
        <w:t xml:space="preserve">En el caso de las EA y las sociedades de capitalización, dicho porcentaje </w:t>
      </w:r>
      <w:r w:rsidR="005E0193">
        <w:rPr>
          <w:rFonts w:ascii="Verdana" w:hAnsi="Verdana" w:cs="Arial"/>
          <w:sz w:val="20"/>
          <w:szCs w:val="20"/>
        </w:rPr>
        <w:t xml:space="preserve">de provisión </w:t>
      </w:r>
      <w:r w:rsidR="00690889">
        <w:rPr>
          <w:rFonts w:ascii="Verdana" w:hAnsi="Verdana" w:cs="Arial"/>
          <w:sz w:val="20"/>
          <w:szCs w:val="20"/>
        </w:rPr>
        <w:t xml:space="preserve">se </w:t>
      </w:r>
      <w:r w:rsidRPr="12B437D6">
        <w:rPr>
          <w:rFonts w:ascii="Verdana" w:hAnsi="Verdana" w:cs="Arial"/>
          <w:sz w:val="20"/>
          <w:szCs w:val="20"/>
        </w:rPr>
        <w:t xml:space="preserve">debe </w:t>
      </w:r>
      <w:r w:rsidR="005E0193">
        <w:rPr>
          <w:rFonts w:ascii="Verdana" w:hAnsi="Verdana" w:cs="Arial"/>
          <w:sz w:val="20"/>
          <w:szCs w:val="20"/>
        </w:rPr>
        <w:t xml:space="preserve">efectuar </w:t>
      </w:r>
      <w:r w:rsidRPr="12B437D6">
        <w:rPr>
          <w:rFonts w:ascii="Verdana" w:hAnsi="Verdana" w:cs="Arial"/>
          <w:sz w:val="20"/>
          <w:szCs w:val="20"/>
        </w:rPr>
        <w:t>sobre la cartera de créditos bruta registrada en la cuenta CUIF 14, con excepción de los créditos garantizados con pólizas de vida y los créditos garantizados con títulos de capitalización.</w:t>
      </w:r>
    </w:p>
    <w:p w14:paraId="50493FAD" w14:textId="6EAAE94E" w:rsidR="00B44C13" w:rsidRPr="001C6CAB" w:rsidRDefault="00B44C13" w:rsidP="00B44C13">
      <w:pPr>
        <w:spacing w:after="0"/>
        <w:rPr>
          <w:rFonts w:ascii="Verdana" w:hAnsi="Verdana"/>
          <w:sz w:val="20"/>
          <w:szCs w:val="20"/>
        </w:rPr>
      </w:pPr>
      <w:r w:rsidRPr="001C6CAB">
        <w:rPr>
          <w:rFonts w:ascii="Verdana" w:hAnsi="Verdana"/>
          <w:sz w:val="20"/>
          <w:szCs w:val="20"/>
        </w:rPr>
        <w:t>1.1.3.</w:t>
      </w:r>
      <w:r w:rsidR="00A911EB">
        <w:rPr>
          <w:rFonts w:ascii="Verdana" w:hAnsi="Verdana"/>
          <w:sz w:val="20"/>
          <w:szCs w:val="20"/>
        </w:rPr>
        <w:t>26</w:t>
      </w:r>
      <w:r w:rsidRPr="001C6CAB">
        <w:rPr>
          <w:rFonts w:ascii="Verdana" w:hAnsi="Verdana"/>
          <w:sz w:val="20"/>
          <w:szCs w:val="20"/>
        </w:rPr>
        <w:t>.</w:t>
      </w:r>
    </w:p>
    <w:p w14:paraId="5F9CA4DB" w14:textId="1F83BA9A" w:rsidR="00B44C13" w:rsidRDefault="002B3025" w:rsidP="00B44C13">
      <w:pPr>
        <w:jc w:val="both"/>
        <w:rPr>
          <w:rFonts w:ascii="Verdana" w:hAnsi="Verdana" w:cs="Arial"/>
          <w:bCs/>
          <w:sz w:val="20"/>
          <w:szCs w:val="20"/>
        </w:rPr>
      </w:pPr>
      <w:r w:rsidRPr="002B3025">
        <w:rPr>
          <w:rFonts w:ascii="Verdana" w:hAnsi="Verdana" w:cs="Arial"/>
          <w:bCs/>
          <w:sz w:val="20"/>
          <w:szCs w:val="20"/>
        </w:rPr>
        <w:t>La constitución de provisiones generales adicionales requiere la aprobación de la asamblea general de accionistas o de asociados de la respectiva entidad, con una mayoría decisoria superior al 85% y debe fundamentarse técnicamente.</w:t>
      </w:r>
    </w:p>
    <w:p w14:paraId="3CB51E74" w14:textId="70148E1B" w:rsidR="002B3025" w:rsidRPr="00F534BE" w:rsidRDefault="002B3025" w:rsidP="00551D66">
      <w:pPr>
        <w:pStyle w:val="Prrafodelista"/>
        <w:numPr>
          <w:ilvl w:val="0"/>
          <w:numId w:val="39"/>
        </w:numPr>
        <w:ind w:left="284" w:hanging="284"/>
        <w:jc w:val="both"/>
        <w:rPr>
          <w:rFonts w:ascii="Verdana" w:hAnsi="Verdana" w:cs="Arial"/>
          <w:b/>
          <w:sz w:val="20"/>
          <w:szCs w:val="20"/>
        </w:rPr>
      </w:pPr>
      <w:r w:rsidRPr="00F534BE">
        <w:rPr>
          <w:rFonts w:ascii="Verdana" w:hAnsi="Verdana" w:cs="Arial"/>
          <w:b/>
          <w:sz w:val="20"/>
          <w:szCs w:val="20"/>
        </w:rPr>
        <w:t>Provisión individual: modelo de pérdida esperada</w:t>
      </w:r>
    </w:p>
    <w:p w14:paraId="68F9B89C" w14:textId="411EF393" w:rsidR="005A7074" w:rsidRPr="001C6CAB" w:rsidRDefault="005A7074" w:rsidP="005A7074">
      <w:pPr>
        <w:spacing w:after="0"/>
        <w:rPr>
          <w:rFonts w:ascii="Verdana" w:hAnsi="Verdana"/>
          <w:sz w:val="20"/>
          <w:szCs w:val="20"/>
        </w:rPr>
      </w:pPr>
      <w:r w:rsidRPr="001C6CAB">
        <w:rPr>
          <w:rFonts w:ascii="Verdana" w:hAnsi="Verdana"/>
          <w:sz w:val="20"/>
          <w:szCs w:val="20"/>
        </w:rPr>
        <w:t>1.1.3.</w:t>
      </w:r>
      <w:r w:rsidR="00A911EB">
        <w:rPr>
          <w:rFonts w:ascii="Verdana" w:hAnsi="Verdana"/>
          <w:sz w:val="20"/>
          <w:szCs w:val="20"/>
        </w:rPr>
        <w:t>27</w:t>
      </w:r>
      <w:r w:rsidRPr="001C6CAB">
        <w:rPr>
          <w:rFonts w:ascii="Verdana" w:hAnsi="Verdana"/>
          <w:sz w:val="20"/>
          <w:szCs w:val="20"/>
        </w:rPr>
        <w:t>.</w:t>
      </w:r>
    </w:p>
    <w:p w14:paraId="54AE6B40" w14:textId="5C3FA3EB" w:rsidR="00455B80" w:rsidRDefault="002B3025" w:rsidP="12B437D6">
      <w:pPr>
        <w:jc w:val="both"/>
        <w:rPr>
          <w:rFonts w:ascii="Verdana" w:hAnsi="Verdana" w:cs="Arial"/>
          <w:sz w:val="20"/>
          <w:szCs w:val="20"/>
        </w:rPr>
      </w:pPr>
      <w:r w:rsidRPr="12B437D6">
        <w:rPr>
          <w:rFonts w:ascii="Verdana" w:hAnsi="Verdana" w:cs="Arial"/>
          <w:sz w:val="20"/>
          <w:szCs w:val="20"/>
        </w:rPr>
        <w:t>Las provisiones individuales son aquellas que reflejan el riesgo crediticio de los deudores que deben ser constituidas por la entidad a través de la aplicación de modelos de pérdida esperada. Estas se calculan de acuerdo con la siguiente fórmula:</w:t>
      </w:r>
    </w:p>
    <w:p w14:paraId="5FA9001C" w14:textId="440506B5" w:rsidR="00455B80" w:rsidRPr="00EB6C7E" w:rsidRDefault="00EB6C7E" w:rsidP="12B437D6">
      <w:pPr>
        <w:jc w:val="both"/>
        <w:rPr>
          <w:rFonts w:ascii="Verdana" w:hAnsi="Verdana" w:cs="Arial"/>
          <w:sz w:val="20"/>
          <w:szCs w:val="20"/>
        </w:rPr>
      </w:pPr>
      <m:oMathPara>
        <m:oMathParaPr>
          <m:jc m:val="center"/>
        </m:oMathParaPr>
        <m:oMath>
          <m:r>
            <w:rPr>
              <w:rFonts w:ascii="Cambria Math" w:hAnsi="Cambria Math" w:cs="Arial"/>
              <w:sz w:val="20"/>
              <w:szCs w:val="20"/>
            </w:rPr>
            <m:t>PE=ExA*PI*PDI</m:t>
          </m:r>
        </m:oMath>
      </m:oMathPara>
    </w:p>
    <w:p w14:paraId="2442A6BC" w14:textId="022D7CCD" w:rsidR="002B3025" w:rsidRDefault="002B3025" w:rsidP="00B929BB">
      <w:pPr>
        <w:jc w:val="both"/>
        <w:rPr>
          <w:rFonts w:ascii="Verdana" w:hAnsi="Verdana" w:cs="Arial"/>
          <w:bCs/>
          <w:sz w:val="20"/>
          <w:szCs w:val="20"/>
        </w:rPr>
      </w:pPr>
      <w:r w:rsidRPr="002B3025">
        <w:rPr>
          <w:rFonts w:ascii="Verdana" w:hAnsi="Verdana" w:cs="Arial"/>
          <w:bCs/>
          <w:sz w:val="20"/>
          <w:szCs w:val="20"/>
        </w:rPr>
        <w:t>En donde:</w:t>
      </w:r>
    </w:p>
    <w:p w14:paraId="445D09B9" w14:textId="6B342FDD" w:rsidR="00077585" w:rsidRDefault="00077585" w:rsidP="00B929BB">
      <w:pPr>
        <w:jc w:val="both"/>
        <w:rPr>
          <w:rFonts w:ascii="Verdana" w:eastAsiaTheme="minorEastAsia" w:hAnsi="Verdana" w:cs="Arial"/>
          <w:sz w:val="20"/>
          <w:szCs w:val="20"/>
        </w:rPr>
      </w:pPr>
      <m:oMath>
        <m:r>
          <w:rPr>
            <w:rFonts w:ascii="Cambria Math" w:hAnsi="Cambria Math" w:cs="Arial"/>
            <w:sz w:val="20"/>
            <w:szCs w:val="20"/>
          </w:rPr>
          <m:t>PE</m:t>
        </m:r>
      </m:oMath>
      <w:r>
        <w:rPr>
          <w:rFonts w:ascii="Verdana" w:eastAsiaTheme="minorEastAsia" w:hAnsi="Verdana" w:cs="Arial"/>
          <w:sz w:val="20"/>
          <w:szCs w:val="20"/>
        </w:rPr>
        <w:t>: es la pérdida esperada calculada para cada crédito</w:t>
      </w:r>
      <w:r w:rsidR="00EB6C7E">
        <w:rPr>
          <w:rFonts w:ascii="Verdana" w:eastAsiaTheme="minorEastAsia" w:hAnsi="Verdana" w:cs="Arial"/>
          <w:sz w:val="20"/>
          <w:szCs w:val="20"/>
        </w:rPr>
        <w:t xml:space="preserve">, </w:t>
      </w:r>
      <w:r>
        <w:rPr>
          <w:rFonts w:ascii="Verdana" w:eastAsiaTheme="minorEastAsia" w:hAnsi="Verdana" w:cs="Arial"/>
          <w:sz w:val="20"/>
          <w:szCs w:val="20"/>
        </w:rPr>
        <w:t>operación</w:t>
      </w:r>
      <w:r w:rsidR="00EB6C7E">
        <w:rPr>
          <w:rFonts w:ascii="Verdana" w:eastAsiaTheme="minorEastAsia" w:hAnsi="Verdana" w:cs="Arial"/>
          <w:sz w:val="20"/>
          <w:szCs w:val="20"/>
        </w:rPr>
        <w:t xml:space="preserve"> o acreencia.</w:t>
      </w:r>
    </w:p>
    <w:p w14:paraId="022647FA" w14:textId="16CDE846" w:rsidR="00EB6C7E" w:rsidRDefault="00EB6C7E" w:rsidP="00B929BB">
      <w:pPr>
        <w:jc w:val="both"/>
        <w:rPr>
          <w:rFonts w:ascii="Verdana" w:eastAsiaTheme="minorEastAsia" w:hAnsi="Verdana" w:cs="Arial"/>
          <w:sz w:val="20"/>
          <w:szCs w:val="20"/>
        </w:rPr>
      </w:pPr>
      <m:oMath>
        <m:r>
          <w:rPr>
            <w:rFonts w:ascii="Cambria Math" w:hAnsi="Cambria Math" w:cs="Arial"/>
            <w:sz w:val="20"/>
            <w:szCs w:val="20"/>
          </w:rPr>
          <w:lastRenderedPageBreak/>
          <m:t>ExA</m:t>
        </m:r>
      </m:oMath>
      <w:r>
        <w:rPr>
          <w:rFonts w:ascii="Verdana" w:eastAsiaTheme="minorEastAsia" w:hAnsi="Verdana" w:cs="Arial"/>
          <w:sz w:val="20"/>
          <w:szCs w:val="20"/>
        </w:rPr>
        <w:t>: es la exposición del activo, esto es, el valor de la exposición en cada fecha de cálculo</w:t>
      </w:r>
      <w:r w:rsidR="00F33B54">
        <w:rPr>
          <w:rFonts w:ascii="Verdana" w:eastAsiaTheme="minorEastAsia" w:hAnsi="Verdana" w:cs="Arial"/>
          <w:sz w:val="20"/>
          <w:szCs w:val="20"/>
        </w:rPr>
        <w:t xml:space="preserve">, de acuerdo con el párrafo 1.1.3.31. </w:t>
      </w:r>
    </w:p>
    <w:p w14:paraId="59B19FE8" w14:textId="49E91CDF" w:rsidR="00EB6C7E" w:rsidRDefault="00EB6C7E" w:rsidP="00B929BB">
      <w:pPr>
        <w:jc w:val="both"/>
        <w:rPr>
          <w:rFonts w:ascii="Verdana" w:hAnsi="Verdana" w:cs="Arial"/>
          <w:bCs/>
          <w:sz w:val="20"/>
          <w:szCs w:val="20"/>
        </w:rPr>
      </w:pPr>
      <m:oMath>
        <m:r>
          <w:rPr>
            <w:rFonts w:ascii="Cambria Math" w:hAnsi="Cambria Math" w:cs="Arial"/>
            <w:sz w:val="20"/>
            <w:szCs w:val="20"/>
          </w:rPr>
          <m:t>PI</m:t>
        </m:r>
      </m:oMath>
      <w:r>
        <w:rPr>
          <w:rFonts w:ascii="Verdana" w:eastAsiaTheme="minorEastAsia" w:hAnsi="Verdana" w:cs="Arial"/>
          <w:sz w:val="20"/>
          <w:szCs w:val="20"/>
        </w:rPr>
        <w:t xml:space="preserve">: </w:t>
      </w:r>
      <w:r w:rsidRPr="002B3025">
        <w:rPr>
          <w:rFonts w:ascii="Verdana" w:hAnsi="Verdana" w:cs="Arial"/>
          <w:bCs/>
          <w:sz w:val="20"/>
          <w:szCs w:val="20"/>
        </w:rPr>
        <w:t>corresponde a la probabilidad de que en un periodo de 12 meses el deudor incumpla sus obligaciones.</w:t>
      </w:r>
    </w:p>
    <w:p w14:paraId="617E2AAB" w14:textId="4D89C60C" w:rsidR="00634E67" w:rsidRPr="002B3025" w:rsidRDefault="004006F7" w:rsidP="00E94E82">
      <w:pPr>
        <w:jc w:val="both"/>
        <w:rPr>
          <w:rFonts w:ascii="Verdana" w:hAnsi="Verdana" w:cs="Arial"/>
          <w:bCs/>
          <w:sz w:val="20"/>
          <w:szCs w:val="20"/>
        </w:rPr>
      </w:pPr>
      <m:oMath>
        <m:r>
          <w:rPr>
            <w:rFonts w:ascii="Cambria Math" w:hAnsi="Cambria Math" w:cs="Arial"/>
            <w:sz w:val="20"/>
            <w:szCs w:val="20"/>
          </w:rPr>
          <m:t>PDI</m:t>
        </m:r>
      </m:oMath>
      <w:r>
        <w:rPr>
          <w:rFonts w:ascii="Verdana" w:eastAsiaTheme="minorEastAsia" w:hAnsi="Verdana" w:cs="Arial"/>
          <w:sz w:val="20"/>
          <w:szCs w:val="20"/>
        </w:rPr>
        <w:t>: corresponde al nivel de pérdidas en que incurre la entidad en caso de presentarse un incumplimiento</w:t>
      </w:r>
      <w:r w:rsidR="00F33B54">
        <w:rPr>
          <w:rFonts w:ascii="Verdana" w:eastAsiaTheme="minorEastAsia" w:hAnsi="Verdana" w:cs="Arial"/>
          <w:sz w:val="20"/>
          <w:szCs w:val="20"/>
        </w:rPr>
        <w:t xml:space="preserve">, de acuerdo con el párrafo 1.1.3.32. </w:t>
      </w:r>
    </w:p>
    <w:p w14:paraId="152756C0" w14:textId="77777777" w:rsidR="005F2E9F" w:rsidRDefault="005F2E9F" w:rsidP="00AC2BD7">
      <w:pPr>
        <w:spacing w:after="0"/>
        <w:rPr>
          <w:rFonts w:ascii="Verdana" w:hAnsi="Verdana"/>
          <w:sz w:val="20"/>
          <w:szCs w:val="20"/>
        </w:rPr>
      </w:pPr>
    </w:p>
    <w:p w14:paraId="5091C422" w14:textId="537A47F5" w:rsidR="00AC2BD7" w:rsidRPr="001C6CAB" w:rsidRDefault="00AC2BD7" w:rsidP="00AC2BD7">
      <w:pPr>
        <w:spacing w:after="0"/>
        <w:rPr>
          <w:rFonts w:ascii="Verdana" w:hAnsi="Verdana"/>
          <w:sz w:val="20"/>
          <w:szCs w:val="20"/>
        </w:rPr>
      </w:pPr>
      <w:r w:rsidRPr="001C6CAB">
        <w:rPr>
          <w:rFonts w:ascii="Verdana" w:hAnsi="Verdana"/>
          <w:sz w:val="20"/>
          <w:szCs w:val="20"/>
        </w:rPr>
        <w:t>1.1.3.</w:t>
      </w:r>
      <w:r w:rsidR="00A911EB">
        <w:rPr>
          <w:rFonts w:ascii="Verdana" w:hAnsi="Verdana"/>
          <w:sz w:val="20"/>
          <w:szCs w:val="20"/>
        </w:rPr>
        <w:t>28</w:t>
      </w:r>
      <w:r w:rsidRPr="001C6CAB">
        <w:rPr>
          <w:rFonts w:ascii="Verdana" w:hAnsi="Verdana"/>
          <w:sz w:val="20"/>
          <w:szCs w:val="20"/>
        </w:rPr>
        <w:t>.</w:t>
      </w:r>
    </w:p>
    <w:p w14:paraId="341E5894" w14:textId="27807F47" w:rsidR="002B3025" w:rsidRPr="002B3025" w:rsidRDefault="002B3025" w:rsidP="00B929BB">
      <w:pPr>
        <w:jc w:val="both"/>
        <w:rPr>
          <w:rFonts w:ascii="Verdana" w:hAnsi="Verdana" w:cs="Arial"/>
          <w:bCs/>
          <w:sz w:val="20"/>
          <w:szCs w:val="20"/>
        </w:rPr>
      </w:pPr>
      <w:r w:rsidRPr="002B3025">
        <w:rPr>
          <w:rFonts w:ascii="Verdana" w:hAnsi="Verdana" w:cs="Arial"/>
          <w:bCs/>
          <w:sz w:val="20"/>
          <w:szCs w:val="20"/>
        </w:rPr>
        <w:t>Se entiende por incumplimiento, sin perjuicio de que la entidad establezca criterios adicionales más exigentes, el evento en el cual una operación de crédito cumpla por lo menos con alguna de las siguientes condiciones:</w:t>
      </w:r>
    </w:p>
    <w:p w14:paraId="24793192" w14:textId="77777777" w:rsidR="002B3025" w:rsidRPr="00AC2BD7" w:rsidRDefault="002B3025" w:rsidP="00634E67">
      <w:pPr>
        <w:pStyle w:val="Prrafodelista"/>
        <w:numPr>
          <w:ilvl w:val="0"/>
          <w:numId w:val="9"/>
        </w:numPr>
        <w:tabs>
          <w:tab w:val="left" w:pos="90"/>
        </w:tabs>
        <w:spacing w:after="0" w:line="240" w:lineRule="auto"/>
        <w:ind w:left="567" w:hanging="567"/>
        <w:jc w:val="both"/>
        <w:rPr>
          <w:rFonts w:ascii="Verdana" w:hAnsi="Verdana" w:cs="Arial"/>
          <w:bCs/>
          <w:sz w:val="20"/>
          <w:szCs w:val="20"/>
        </w:rPr>
      </w:pPr>
      <w:r w:rsidRPr="00AC2BD7">
        <w:rPr>
          <w:rFonts w:ascii="Verdana" w:hAnsi="Verdana" w:cs="Arial"/>
          <w:bCs/>
          <w:sz w:val="20"/>
          <w:szCs w:val="20"/>
        </w:rPr>
        <w:t>Créditos comerciales que se encuentren en mora mayor o igual a 150 días, o que siendo reestructurados incurran en mora mayor o igual a 60 días.</w:t>
      </w:r>
    </w:p>
    <w:p w14:paraId="27FAE5E5" w14:textId="77777777" w:rsidR="001E379E" w:rsidRDefault="001E379E" w:rsidP="00AC2BD7">
      <w:pPr>
        <w:spacing w:after="0"/>
        <w:ind w:left="567" w:hanging="567"/>
        <w:rPr>
          <w:rFonts w:ascii="Verdana" w:hAnsi="Verdana"/>
          <w:sz w:val="20"/>
          <w:szCs w:val="20"/>
        </w:rPr>
      </w:pPr>
    </w:p>
    <w:p w14:paraId="44C60D92" w14:textId="37EF7D2A" w:rsidR="002B3025" w:rsidRPr="00AC2BD7" w:rsidRDefault="002B3025" w:rsidP="00634E67">
      <w:pPr>
        <w:pStyle w:val="Prrafodelista"/>
        <w:numPr>
          <w:ilvl w:val="0"/>
          <w:numId w:val="9"/>
        </w:numPr>
        <w:tabs>
          <w:tab w:val="left" w:pos="90"/>
        </w:tabs>
        <w:spacing w:after="0" w:line="240" w:lineRule="auto"/>
        <w:ind w:left="567" w:hanging="567"/>
        <w:jc w:val="both"/>
        <w:rPr>
          <w:rFonts w:ascii="Verdana" w:hAnsi="Verdana" w:cs="Arial"/>
          <w:bCs/>
          <w:sz w:val="20"/>
          <w:szCs w:val="20"/>
        </w:rPr>
      </w:pPr>
      <w:r w:rsidRPr="00AC2BD7">
        <w:rPr>
          <w:rFonts w:ascii="Verdana" w:hAnsi="Verdana" w:cs="Arial"/>
          <w:bCs/>
          <w:sz w:val="20"/>
          <w:szCs w:val="20"/>
        </w:rPr>
        <w:t>Créditos de consumo que se encuentren en mora mayor a 90 días, o que siendo reestructurados incurran en mora mayor o igual a 60 días.</w:t>
      </w:r>
    </w:p>
    <w:p w14:paraId="10F27638" w14:textId="77777777" w:rsidR="001E379E" w:rsidRDefault="001E379E" w:rsidP="00AC2BD7">
      <w:pPr>
        <w:tabs>
          <w:tab w:val="left" w:pos="90"/>
        </w:tabs>
        <w:spacing w:after="0" w:line="240" w:lineRule="auto"/>
        <w:ind w:left="567" w:hanging="567"/>
        <w:jc w:val="both"/>
        <w:rPr>
          <w:rFonts w:ascii="Verdana" w:hAnsi="Verdana" w:cs="Arial"/>
          <w:bCs/>
          <w:sz w:val="20"/>
          <w:szCs w:val="20"/>
        </w:rPr>
      </w:pPr>
    </w:p>
    <w:p w14:paraId="0B333160" w14:textId="40ADFD03" w:rsidR="002B3025" w:rsidRPr="00AC2BD7" w:rsidRDefault="002B3025" w:rsidP="00634E67">
      <w:pPr>
        <w:pStyle w:val="Prrafodelista"/>
        <w:numPr>
          <w:ilvl w:val="0"/>
          <w:numId w:val="9"/>
        </w:numPr>
        <w:tabs>
          <w:tab w:val="left" w:pos="90"/>
        </w:tabs>
        <w:spacing w:after="0" w:line="240" w:lineRule="auto"/>
        <w:ind w:left="567" w:hanging="567"/>
        <w:jc w:val="both"/>
        <w:rPr>
          <w:rFonts w:ascii="Verdana" w:hAnsi="Verdana" w:cs="Arial"/>
          <w:bCs/>
          <w:sz w:val="20"/>
          <w:szCs w:val="20"/>
        </w:rPr>
      </w:pPr>
      <w:r w:rsidRPr="00AC2BD7">
        <w:rPr>
          <w:rFonts w:ascii="Verdana" w:hAnsi="Verdana" w:cs="Arial"/>
          <w:bCs/>
          <w:sz w:val="20"/>
          <w:szCs w:val="20"/>
        </w:rPr>
        <w:t>Créditos de vivienda que se encuentren en mora mayor o igual a 180 días.</w:t>
      </w:r>
    </w:p>
    <w:p w14:paraId="45F9EB71" w14:textId="77777777" w:rsidR="002B3025" w:rsidRPr="002B3025" w:rsidRDefault="002B3025" w:rsidP="00AC2BD7">
      <w:pPr>
        <w:pStyle w:val="Prrafodelista"/>
        <w:ind w:left="567" w:hanging="567"/>
        <w:rPr>
          <w:rFonts w:ascii="Verdana" w:hAnsi="Verdana" w:cs="Arial"/>
          <w:bCs/>
          <w:sz w:val="20"/>
          <w:szCs w:val="20"/>
        </w:rPr>
      </w:pPr>
    </w:p>
    <w:p w14:paraId="7BE1E600" w14:textId="3A14A4E7" w:rsidR="00404B51" w:rsidRDefault="002B3025" w:rsidP="00634E67">
      <w:pPr>
        <w:pStyle w:val="Prrafodelista"/>
        <w:numPr>
          <w:ilvl w:val="0"/>
          <w:numId w:val="9"/>
        </w:numPr>
        <w:tabs>
          <w:tab w:val="left" w:pos="90"/>
        </w:tabs>
        <w:spacing w:after="0" w:line="240" w:lineRule="auto"/>
        <w:ind w:left="567" w:hanging="567"/>
        <w:jc w:val="both"/>
        <w:rPr>
          <w:rFonts w:ascii="Verdana" w:hAnsi="Verdana" w:cs="Arial"/>
          <w:bCs/>
          <w:sz w:val="20"/>
          <w:szCs w:val="20"/>
        </w:rPr>
      </w:pPr>
      <w:r w:rsidRPr="00AC2BD7">
        <w:rPr>
          <w:rFonts w:ascii="Verdana" w:hAnsi="Verdana" w:cs="Arial"/>
          <w:bCs/>
          <w:sz w:val="20"/>
          <w:szCs w:val="20"/>
        </w:rPr>
        <w:t xml:space="preserve">Microcréditos que se encuentren en mora mayor o igual a 30 días. </w:t>
      </w:r>
    </w:p>
    <w:p w14:paraId="36898F1F" w14:textId="77777777" w:rsidR="008B186D" w:rsidRPr="008B186D" w:rsidRDefault="008B186D" w:rsidP="008B186D">
      <w:pPr>
        <w:tabs>
          <w:tab w:val="left" w:pos="90"/>
        </w:tabs>
        <w:spacing w:after="0" w:line="240" w:lineRule="auto"/>
        <w:jc w:val="both"/>
        <w:rPr>
          <w:rFonts w:ascii="Verdana" w:hAnsi="Verdana" w:cs="Arial"/>
          <w:bCs/>
          <w:sz w:val="20"/>
          <w:szCs w:val="20"/>
        </w:rPr>
      </w:pPr>
    </w:p>
    <w:p w14:paraId="6EF92A99" w14:textId="6B31700D" w:rsidR="00634E67" w:rsidRPr="00634E67" w:rsidRDefault="00634E67" w:rsidP="00634E67">
      <w:pPr>
        <w:spacing w:after="0"/>
        <w:rPr>
          <w:rFonts w:ascii="Verdana" w:hAnsi="Verdana"/>
          <w:sz w:val="20"/>
          <w:szCs w:val="20"/>
        </w:rPr>
      </w:pPr>
      <w:r w:rsidRPr="001C6CAB">
        <w:rPr>
          <w:rFonts w:ascii="Verdana" w:hAnsi="Verdana"/>
          <w:sz w:val="20"/>
          <w:szCs w:val="20"/>
        </w:rPr>
        <w:t>1.1.3.</w:t>
      </w:r>
      <w:r>
        <w:rPr>
          <w:rFonts w:ascii="Verdana" w:hAnsi="Verdana"/>
          <w:sz w:val="20"/>
          <w:szCs w:val="20"/>
        </w:rPr>
        <w:t>29</w:t>
      </w:r>
      <w:r w:rsidRPr="001C6CAB">
        <w:rPr>
          <w:rFonts w:ascii="Verdana" w:hAnsi="Verdana"/>
          <w:sz w:val="20"/>
          <w:szCs w:val="20"/>
        </w:rPr>
        <w:t>.</w:t>
      </w:r>
    </w:p>
    <w:p w14:paraId="1FEAFD07" w14:textId="7A1F7AEF" w:rsidR="002B3025" w:rsidRPr="002B3025" w:rsidRDefault="002B3025" w:rsidP="00634E67">
      <w:pPr>
        <w:jc w:val="both"/>
        <w:rPr>
          <w:rFonts w:ascii="Verdana" w:hAnsi="Verdana" w:cs="Arial"/>
          <w:bCs/>
          <w:sz w:val="20"/>
          <w:szCs w:val="20"/>
          <w:lang w:val="es-ES"/>
        </w:rPr>
      </w:pPr>
      <w:r w:rsidRPr="00634E67">
        <w:rPr>
          <w:rFonts w:ascii="Verdana" w:hAnsi="Verdana" w:cs="Arial"/>
          <w:bCs/>
          <w:sz w:val="20"/>
          <w:szCs w:val="20"/>
          <w:lang w:val="es-ES"/>
        </w:rPr>
        <w:t xml:space="preserve">Para efectos de los reportes de endeudamiento a la SFC y a los operadores de información las entidades deben clasificar los créditos y homologarlos observando las reglas previstas </w:t>
      </w:r>
      <w:r w:rsidR="003A54C7">
        <w:rPr>
          <w:rFonts w:ascii="Verdana" w:hAnsi="Verdana" w:cs="Arial"/>
          <w:bCs/>
          <w:sz w:val="20"/>
          <w:szCs w:val="20"/>
          <w:lang w:val="es-ES"/>
        </w:rPr>
        <w:t>entre los párrafos 1.1.3.52. y 1.1.</w:t>
      </w:r>
      <w:r w:rsidR="00385568">
        <w:rPr>
          <w:rFonts w:ascii="Verdana" w:hAnsi="Verdana" w:cs="Arial"/>
          <w:bCs/>
          <w:sz w:val="20"/>
          <w:szCs w:val="20"/>
          <w:lang w:val="es-ES"/>
        </w:rPr>
        <w:t>3</w:t>
      </w:r>
      <w:r w:rsidR="003A54C7">
        <w:rPr>
          <w:rFonts w:ascii="Verdana" w:hAnsi="Verdana" w:cs="Arial"/>
          <w:bCs/>
          <w:sz w:val="20"/>
          <w:szCs w:val="20"/>
          <w:lang w:val="es-ES"/>
        </w:rPr>
        <w:t>.62.</w:t>
      </w:r>
    </w:p>
    <w:p w14:paraId="5317B5FB" w14:textId="581E220A" w:rsidR="00404B51" w:rsidRPr="00862039" w:rsidRDefault="00404B51" w:rsidP="00404B51">
      <w:pPr>
        <w:spacing w:after="0"/>
        <w:rPr>
          <w:rFonts w:ascii="Verdana" w:hAnsi="Verdana"/>
          <w:sz w:val="20"/>
          <w:szCs w:val="20"/>
        </w:rPr>
      </w:pPr>
      <w:r w:rsidRPr="001C6CAB">
        <w:rPr>
          <w:rFonts w:ascii="Verdana" w:hAnsi="Verdana"/>
          <w:sz w:val="20"/>
          <w:szCs w:val="20"/>
        </w:rPr>
        <w:t>1.1.3.</w:t>
      </w:r>
      <w:r w:rsidR="00634E67" w:rsidRPr="00862039">
        <w:rPr>
          <w:rFonts w:ascii="Verdana" w:hAnsi="Verdana"/>
          <w:sz w:val="20"/>
          <w:szCs w:val="20"/>
        </w:rPr>
        <w:t>30</w:t>
      </w:r>
      <w:r w:rsidRPr="00862039">
        <w:rPr>
          <w:rFonts w:ascii="Verdana" w:hAnsi="Verdana"/>
          <w:sz w:val="20"/>
          <w:szCs w:val="20"/>
        </w:rPr>
        <w:t>.</w:t>
      </w:r>
    </w:p>
    <w:p w14:paraId="14F9C14C" w14:textId="70E119B2" w:rsidR="002B3025" w:rsidRPr="00862039" w:rsidRDefault="002B3025" w:rsidP="00B929BB">
      <w:pPr>
        <w:ind w:left="284" w:hanging="284"/>
        <w:jc w:val="both"/>
        <w:rPr>
          <w:rFonts w:ascii="Verdana" w:hAnsi="Verdana" w:cs="Arial"/>
          <w:bCs/>
          <w:sz w:val="20"/>
          <w:szCs w:val="20"/>
        </w:rPr>
      </w:pPr>
      <w:r w:rsidRPr="00862039">
        <w:rPr>
          <w:rFonts w:ascii="Verdana" w:hAnsi="Verdana" w:cs="Arial"/>
          <w:bCs/>
          <w:sz w:val="20"/>
          <w:szCs w:val="20"/>
        </w:rPr>
        <w:t>Igualmente se considera incumplimiento las situaciones que a continuación se describen:</w:t>
      </w:r>
    </w:p>
    <w:p w14:paraId="647BF75F" w14:textId="508A4939" w:rsidR="002B3025" w:rsidRPr="00862039" w:rsidRDefault="002B3025" w:rsidP="00634E67">
      <w:pPr>
        <w:pStyle w:val="Prrafodelista"/>
        <w:numPr>
          <w:ilvl w:val="1"/>
          <w:numId w:val="7"/>
        </w:numPr>
        <w:tabs>
          <w:tab w:val="left" w:pos="567"/>
        </w:tabs>
        <w:spacing w:after="0" w:line="240" w:lineRule="auto"/>
        <w:ind w:left="567" w:hanging="567"/>
        <w:jc w:val="both"/>
        <w:rPr>
          <w:rFonts w:ascii="Verdana" w:hAnsi="Verdana" w:cs="Arial"/>
          <w:sz w:val="20"/>
          <w:szCs w:val="20"/>
        </w:rPr>
      </w:pPr>
      <w:r w:rsidRPr="00862039">
        <w:rPr>
          <w:rFonts w:ascii="Verdana" w:hAnsi="Verdana" w:cs="Arial"/>
          <w:sz w:val="20"/>
          <w:szCs w:val="20"/>
        </w:rPr>
        <w:t>Cuando el deudor registre obligaciones castigadas con la entidad o en el sistema, de acuerdo con la información proveniente de los operadores de información o de cualquier otra fuente.</w:t>
      </w:r>
      <w:r w:rsidRPr="00862039">
        <w:rPr>
          <w:rFonts w:ascii="Verdana" w:hAnsi="Verdana"/>
          <w:sz w:val="20"/>
          <w:szCs w:val="20"/>
        </w:rPr>
        <w:t xml:space="preserve"> </w:t>
      </w:r>
      <w:r w:rsidRPr="00862039">
        <w:rPr>
          <w:rFonts w:ascii="Verdana" w:hAnsi="Verdana" w:cs="Arial"/>
          <w:sz w:val="20"/>
          <w:szCs w:val="20"/>
        </w:rPr>
        <w:t>Cuando se trate de nuevos créditos otorgados a deudores con obligaciones castigadas y se efectué el desembolso del valor del crédito aprobado, no serán considerados como incumplidos. En todo caso</w:t>
      </w:r>
      <w:r w:rsidR="00210329">
        <w:rPr>
          <w:rFonts w:ascii="Verdana" w:hAnsi="Verdana" w:cs="Arial"/>
          <w:sz w:val="20"/>
          <w:szCs w:val="20"/>
        </w:rPr>
        <w:t>,</w:t>
      </w:r>
      <w:r w:rsidRPr="00862039">
        <w:rPr>
          <w:rFonts w:ascii="Verdana" w:hAnsi="Verdana" w:cs="Arial"/>
          <w:sz w:val="20"/>
          <w:szCs w:val="20"/>
        </w:rPr>
        <w:t xml:space="preserve"> la calificación </w:t>
      </w:r>
      <w:r w:rsidR="007031E4">
        <w:rPr>
          <w:rFonts w:ascii="Verdana" w:hAnsi="Verdana" w:cs="Arial"/>
          <w:sz w:val="20"/>
          <w:szCs w:val="20"/>
        </w:rPr>
        <w:t xml:space="preserve">de riesgo </w:t>
      </w:r>
      <w:r w:rsidRPr="00862039">
        <w:rPr>
          <w:rFonts w:ascii="Verdana" w:hAnsi="Verdana" w:cs="Arial"/>
          <w:sz w:val="20"/>
          <w:szCs w:val="20"/>
        </w:rPr>
        <w:t>que se asigne debe atender l</w:t>
      </w:r>
      <w:r w:rsidR="00B40CCF">
        <w:rPr>
          <w:rFonts w:ascii="Verdana" w:hAnsi="Verdana" w:cs="Arial"/>
          <w:sz w:val="20"/>
          <w:szCs w:val="20"/>
        </w:rPr>
        <w:t>as instrucciones del presente capítulo</w:t>
      </w:r>
      <w:r w:rsidR="00D95C70">
        <w:rPr>
          <w:rFonts w:ascii="Verdana" w:hAnsi="Verdana" w:cs="Arial"/>
          <w:sz w:val="20"/>
          <w:szCs w:val="20"/>
        </w:rPr>
        <w:t>,</w:t>
      </w:r>
      <w:r w:rsidR="00B40CCF">
        <w:rPr>
          <w:rFonts w:ascii="Verdana" w:hAnsi="Verdana" w:cs="Arial"/>
          <w:sz w:val="20"/>
          <w:szCs w:val="20"/>
        </w:rPr>
        <w:t xml:space="preserve"> en especial l</w:t>
      </w:r>
      <w:r w:rsidRPr="00862039">
        <w:rPr>
          <w:rFonts w:ascii="Verdana" w:hAnsi="Verdana" w:cs="Arial"/>
          <w:sz w:val="20"/>
          <w:szCs w:val="20"/>
        </w:rPr>
        <w:t xml:space="preserve">o dispuesto </w:t>
      </w:r>
      <w:r w:rsidR="00862039">
        <w:rPr>
          <w:rFonts w:ascii="Verdana" w:hAnsi="Verdana" w:cs="Arial"/>
          <w:bCs/>
          <w:sz w:val="20"/>
          <w:szCs w:val="20"/>
          <w:lang w:val="es-ES"/>
        </w:rPr>
        <w:t>entre los párrafos 1.1.3.52. y 1.1.</w:t>
      </w:r>
      <w:r w:rsidR="00BE6B73">
        <w:rPr>
          <w:rFonts w:ascii="Verdana" w:hAnsi="Verdana" w:cs="Arial"/>
          <w:bCs/>
          <w:sz w:val="20"/>
          <w:szCs w:val="20"/>
          <w:lang w:val="es-ES"/>
        </w:rPr>
        <w:t>3</w:t>
      </w:r>
      <w:r w:rsidR="00862039">
        <w:rPr>
          <w:rFonts w:ascii="Verdana" w:hAnsi="Verdana" w:cs="Arial"/>
          <w:bCs/>
          <w:sz w:val="20"/>
          <w:szCs w:val="20"/>
          <w:lang w:val="es-ES"/>
        </w:rPr>
        <w:t>.62.</w:t>
      </w:r>
    </w:p>
    <w:p w14:paraId="02CDF266" w14:textId="77777777" w:rsidR="002B3025" w:rsidRPr="00862039" w:rsidRDefault="002B3025" w:rsidP="00B929BB">
      <w:pPr>
        <w:pStyle w:val="Prrafodelista"/>
        <w:tabs>
          <w:tab w:val="left" w:pos="284"/>
        </w:tabs>
        <w:ind w:left="284" w:hanging="284"/>
        <w:jc w:val="both"/>
        <w:rPr>
          <w:rFonts w:ascii="Verdana" w:hAnsi="Verdana" w:cs="Arial"/>
          <w:bCs/>
          <w:sz w:val="20"/>
          <w:szCs w:val="20"/>
        </w:rPr>
      </w:pPr>
    </w:p>
    <w:p w14:paraId="31D8E256" w14:textId="6C39A1C8" w:rsidR="002B3025" w:rsidRPr="00862039" w:rsidRDefault="002B3025" w:rsidP="00634E67">
      <w:pPr>
        <w:pStyle w:val="Prrafodelista"/>
        <w:numPr>
          <w:ilvl w:val="1"/>
          <w:numId w:val="7"/>
        </w:numPr>
        <w:tabs>
          <w:tab w:val="left" w:pos="567"/>
        </w:tabs>
        <w:spacing w:after="0" w:line="240" w:lineRule="auto"/>
        <w:ind w:left="567" w:hanging="567"/>
        <w:jc w:val="both"/>
        <w:rPr>
          <w:rFonts w:ascii="Verdana" w:hAnsi="Verdana" w:cs="Arial"/>
          <w:bCs/>
          <w:sz w:val="20"/>
          <w:szCs w:val="20"/>
        </w:rPr>
      </w:pPr>
      <w:r w:rsidRPr="00862039">
        <w:rPr>
          <w:rFonts w:ascii="Verdana" w:hAnsi="Verdana" w:cs="Arial"/>
          <w:bCs/>
          <w:sz w:val="20"/>
          <w:szCs w:val="20"/>
        </w:rPr>
        <w:t xml:space="preserve">Cuando el deudor </w:t>
      </w:r>
      <w:r w:rsidR="000E0611">
        <w:rPr>
          <w:rFonts w:ascii="Verdana" w:hAnsi="Verdana" w:cs="Arial"/>
          <w:bCs/>
          <w:sz w:val="20"/>
          <w:szCs w:val="20"/>
        </w:rPr>
        <w:t xml:space="preserve">se encuentre </w:t>
      </w:r>
      <w:r w:rsidRPr="00862039">
        <w:rPr>
          <w:rFonts w:ascii="Verdana" w:hAnsi="Verdana" w:cs="Arial"/>
          <w:bCs/>
          <w:sz w:val="20"/>
          <w:szCs w:val="20"/>
        </w:rPr>
        <w:t>en un proceso concursal o cualquier clase de proceso judicial o administrativo que pueda conllevar la imposibilidad de pago de la obligación o su aplazamiento, excepto en el caso de los créditos de Ley 1116 de 2006 y de los Decretos Legislativos 560 y 772 de 2020, los cuales se regirán por las instrucciones del anexo 4</w:t>
      </w:r>
      <w:r w:rsidR="001F6222">
        <w:rPr>
          <w:rFonts w:ascii="Verdana" w:hAnsi="Verdana" w:cs="Arial"/>
          <w:bCs/>
          <w:sz w:val="20"/>
          <w:szCs w:val="20"/>
        </w:rPr>
        <w:t xml:space="preserve"> del presente capítulo.</w:t>
      </w:r>
    </w:p>
    <w:p w14:paraId="7C2ED566" w14:textId="77777777" w:rsidR="00C95432" w:rsidRDefault="00C95432" w:rsidP="00404B51">
      <w:pPr>
        <w:spacing w:after="0"/>
        <w:rPr>
          <w:rFonts w:ascii="Verdana" w:hAnsi="Verdana"/>
          <w:sz w:val="20"/>
          <w:szCs w:val="20"/>
        </w:rPr>
      </w:pPr>
    </w:p>
    <w:p w14:paraId="330CC2B7" w14:textId="25E27853" w:rsidR="00404B51" w:rsidRPr="001C6CAB" w:rsidRDefault="00404B51" w:rsidP="00404B51">
      <w:pPr>
        <w:spacing w:after="0"/>
        <w:rPr>
          <w:rFonts w:ascii="Verdana" w:hAnsi="Verdana"/>
          <w:sz w:val="20"/>
          <w:szCs w:val="20"/>
        </w:rPr>
      </w:pPr>
      <w:r w:rsidRPr="001C6CAB">
        <w:rPr>
          <w:rFonts w:ascii="Verdana" w:hAnsi="Verdana"/>
          <w:sz w:val="20"/>
          <w:szCs w:val="20"/>
        </w:rPr>
        <w:t>1.1.3.</w:t>
      </w:r>
      <w:r>
        <w:rPr>
          <w:rFonts w:ascii="Verdana" w:hAnsi="Verdana"/>
          <w:sz w:val="20"/>
          <w:szCs w:val="20"/>
        </w:rPr>
        <w:t>3</w:t>
      </w:r>
      <w:r w:rsidR="00634E67">
        <w:rPr>
          <w:rFonts w:ascii="Verdana" w:hAnsi="Verdana"/>
          <w:sz w:val="20"/>
          <w:szCs w:val="20"/>
        </w:rPr>
        <w:t>1</w:t>
      </w:r>
      <w:r w:rsidRPr="001C6CAB">
        <w:rPr>
          <w:rFonts w:ascii="Verdana" w:hAnsi="Verdana"/>
          <w:sz w:val="20"/>
          <w:szCs w:val="20"/>
        </w:rPr>
        <w:t>.</w:t>
      </w:r>
    </w:p>
    <w:p w14:paraId="705CE932" w14:textId="7EE66771" w:rsidR="002B3025" w:rsidRPr="00A05F99" w:rsidRDefault="002B3025" w:rsidP="00B929BB">
      <w:pPr>
        <w:pStyle w:val="Prrafodelista"/>
        <w:ind w:left="0"/>
        <w:jc w:val="both"/>
        <w:rPr>
          <w:rFonts w:ascii="Verdana" w:hAnsi="Verdana" w:cs="Arial"/>
          <w:sz w:val="20"/>
          <w:szCs w:val="20"/>
        </w:rPr>
      </w:pPr>
      <w:r w:rsidRPr="12B437D6">
        <w:rPr>
          <w:rFonts w:ascii="Verdana" w:hAnsi="Verdana" w:cs="Arial"/>
          <w:sz w:val="20"/>
          <w:szCs w:val="20"/>
        </w:rPr>
        <w:t xml:space="preserve">La </w:t>
      </w:r>
      <w:r w:rsidRPr="002711AE">
        <w:rPr>
          <w:rFonts w:ascii="Cambria Math" w:hAnsi="Cambria Math" w:cs="Arial"/>
          <w:i/>
          <w:sz w:val="20"/>
          <w:szCs w:val="20"/>
        </w:rPr>
        <w:t xml:space="preserve">ExA </w:t>
      </w:r>
      <w:r w:rsidRPr="12B437D6">
        <w:rPr>
          <w:rFonts w:ascii="Verdana" w:hAnsi="Verdana" w:cs="Arial"/>
          <w:sz w:val="20"/>
          <w:szCs w:val="20"/>
        </w:rPr>
        <w:t>se entiende como el saldo de la obligación al momento del cálculo de la pérdida esperada, esto es</w:t>
      </w:r>
      <w:r w:rsidR="00F62E25">
        <w:rPr>
          <w:rFonts w:ascii="Verdana" w:hAnsi="Verdana" w:cs="Arial"/>
          <w:sz w:val="20"/>
          <w:szCs w:val="20"/>
        </w:rPr>
        <w:t xml:space="preserve"> el valor del </w:t>
      </w:r>
      <w:r w:rsidRPr="12B437D6">
        <w:rPr>
          <w:rFonts w:ascii="Verdana" w:hAnsi="Verdana" w:cs="Arial"/>
          <w:sz w:val="20"/>
          <w:szCs w:val="20"/>
        </w:rPr>
        <w:t>capital, intereses, cuentas por cobrar de intereses y otras cuentas por cobrar.</w:t>
      </w:r>
    </w:p>
    <w:p w14:paraId="1CB101D8" w14:textId="462EC36A" w:rsidR="00404B51" w:rsidRPr="001C6CAB" w:rsidRDefault="00404B51" w:rsidP="00404B51">
      <w:pPr>
        <w:spacing w:after="0"/>
        <w:rPr>
          <w:rFonts w:ascii="Verdana" w:hAnsi="Verdana"/>
          <w:sz w:val="20"/>
          <w:szCs w:val="20"/>
        </w:rPr>
      </w:pPr>
      <w:r w:rsidRPr="001C6CAB">
        <w:rPr>
          <w:rFonts w:ascii="Verdana" w:hAnsi="Verdana"/>
          <w:sz w:val="20"/>
          <w:szCs w:val="20"/>
        </w:rPr>
        <w:t>1.1.3.</w:t>
      </w:r>
      <w:r>
        <w:rPr>
          <w:rFonts w:ascii="Verdana" w:hAnsi="Verdana"/>
          <w:sz w:val="20"/>
          <w:szCs w:val="20"/>
        </w:rPr>
        <w:t>3</w:t>
      </w:r>
      <w:r w:rsidR="00634E67">
        <w:rPr>
          <w:rFonts w:ascii="Verdana" w:hAnsi="Verdana"/>
          <w:sz w:val="20"/>
          <w:szCs w:val="20"/>
        </w:rPr>
        <w:t>2</w:t>
      </w:r>
      <w:r w:rsidRPr="001C6CAB">
        <w:rPr>
          <w:rFonts w:ascii="Verdana" w:hAnsi="Verdana"/>
          <w:sz w:val="20"/>
          <w:szCs w:val="20"/>
        </w:rPr>
        <w:t>.</w:t>
      </w:r>
    </w:p>
    <w:p w14:paraId="376B1B80" w14:textId="132E7FC3" w:rsidR="002B3025" w:rsidRPr="002B3025" w:rsidRDefault="002B3025" w:rsidP="00B929BB">
      <w:pPr>
        <w:pStyle w:val="Prrafodelista"/>
        <w:ind w:left="0"/>
        <w:jc w:val="both"/>
        <w:rPr>
          <w:rFonts w:ascii="Verdana" w:hAnsi="Verdana" w:cs="Arial"/>
          <w:bCs/>
          <w:sz w:val="20"/>
          <w:szCs w:val="20"/>
        </w:rPr>
      </w:pPr>
      <w:r w:rsidRPr="002B3025">
        <w:rPr>
          <w:rFonts w:ascii="Verdana" w:hAnsi="Verdana" w:cs="Arial"/>
          <w:bCs/>
          <w:sz w:val="20"/>
          <w:szCs w:val="20"/>
        </w:rPr>
        <w:t xml:space="preserve">Finalmente, la </w:t>
      </w:r>
      <w:r w:rsidRPr="002711AE">
        <w:rPr>
          <w:rFonts w:ascii="Cambria Math" w:hAnsi="Cambria Math" w:cs="Arial"/>
          <w:i/>
          <w:sz w:val="20"/>
          <w:szCs w:val="20"/>
        </w:rPr>
        <w:t xml:space="preserve">PDI </w:t>
      </w:r>
      <w:r w:rsidRPr="002B3025">
        <w:rPr>
          <w:rFonts w:ascii="Verdana" w:hAnsi="Verdana" w:cs="Arial"/>
          <w:bCs/>
          <w:sz w:val="20"/>
          <w:szCs w:val="20"/>
        </w:rPr>
        <w:t xml:space="preserve">se define como el deterioro económico en que incurriría la entidad en caso de que se materialice alguna de las situaciones de incumplimiento listadas </w:t>
      </w:r>
      <w:r w:rsidR="00583DD9">
        <w:rPr>
          <w:rFonts w:ascii="Verdana" w:hAnsi="Verdana" w:cs="Arial"/>
          <w:bCs/>
          <w:sz w:val="20"/>
          <w:szCs w:val="20"/>
        </w:rPr>
        <w:t>en</w:t>
      </w:r>
      <w:r w:rsidR="00CC32DA">
        <w:rPr>
          <w:rFonts w:ascii="Verdana" w:hAnsi="Verdana" w:cs="Arial"/>
          <w:bCs/>
          <w:sz w:val="20"/>
          <w:szCs w:val="20"/>
        </w:rPr>
        <w:t>tre los párrafos 1.1.3.27 y</w:t>
      </w:r>
      <w:r w:rsidR="000D7668">
        <w:rPr>
          <w:rFonts w:ascii="Verdana" w:hAnsi="Verdana" w:cs="Arial"/>
          <w:bCs/>
          <w:sz w:val="20"/>
          <w:szCs w:val="20"/>
        </w:rPr>
        <w:t xml:space="preserve"> </w:t>
      </w:r>
      <w:r w:rsidR="00CC32DA">
        <w:rPr>
          <w:rFonts w:ascii="Verdana" w:hAnsi="Verdana" w:cs="Arial"/>
          <w:bCs/>
          <w:sz w:val="20"/>
          <w:szCs w:val="20"/>
        </w:rPr>
        <w:t>1.1.3.49</w:t>
      </w:r>
      <w:r w:rsidRPr="002B3025">
        <w:rPr>
          <w:rFonts w:ascii="Verdana" w:hAnsi="Verdana" w:cs="Arial"/>
          <w:bCs/>
          <w:sz w:val="20"/>
          <w:szCs w:val="20"/>
        </w:rPr>
        <w:t>. Para su cuantificación se deben tener en cuenta como mínimo:</w:t>
      </w:r>
    </w:p>
    <w:p w14:paraId="230ACC8D" w14:textId="77777777" w:rsidR="002B3025" w:rsidRPr="002B3025" w:rsidRDefault="002B3025" w:rsidP="00B929BB">
      <w:pPr>
        <w:pStyle w:val="Prrafodelista"/>
        <w:ind w:left="0"/>
        <w:jc w:val="both"/>
        <w:rPr>
          <w:rFonts w:ascii="Verdana" w:hAnsi="Verdana" w:cs="Arial"/>
          <w:bCs/>
          <w:sz w:val="20"/>
          <w:szCs w:val="20"/>
        </w:rPr>
      </w:pPr>
    </w:p>
    <w:p w14:paraId="705608E6" w14:textId="77777777" w:rsidR="002B3025" w:rsidRDefault="002B3025" w:rsidP="00634E67">
      <w:pPr>
        <w:pStyle w:val="Prrafodelista"/>
        <w:numPr>
          <w:ilvl w:val="0"/>
          <w:numId w:val="10"/>
        </w:numPr>
        <w:spacing w:after="0" w:line="240" w:lineRule="auto"/>
        <w:ind w:left="567" w:hanging="567"/>
        <w:contextualSpacing w:val="0"/>
        <w:jc w:val="both"/>
        <w:rPr>
          <w:rFonts w:ascii="Verdana" w:hAnsi="Verdana" w:cs="Arial"/>
          <w:bCs/>
          <w:sz w:val="20"/>
          <w:szCs w:val="20"/>
        </w:rPr>
      </w:pPr>
      <w:r w:rsidRPr="002B3025">
        <w:rPr>
          <w:rFonts w:ascii="Verdana" w:hAnsi="Verdana" w:cs="Arial"/>
          <w:bCs/>
          <w:sz w:val="20"/>
          <w:szCs w:val="20"/>
        </w:rPr>
        <w:t>Las recuperaciones realizadas en efectivo sobre el conjunto de créditos incumplidos.</w:t>
      </w:r>
    </w:p>
    <w:p w14:paraId="66EA70B7" w14:textId="77777777" w:rsidR="00E216FE" w:rsidRPr="002B3025" w:rsidRDefault="00E216FE" w:rsidP="00E216FE">
      <w:pPr>
        <w:pStyle w:val="Prrafodelista"/>
        <w:spacing w:after="0" w:line="240" w:lineRule="auto"/>
        <w:ind w:left="567"/>
        <w:contextualSpacing w:val="0"/>
        <w:jc w:val="both"/>
        <w:rPr>
          <w:rFonts w:ascii="Verdana" w:hAnsi="Verdana" w:cs="Arial"/>
          <w:bCs/>
          <w:sz w:val="20"/>
          <w:szCs w:val="20"/>
        </w:rPr>
      </w:pPr>
    </w:p>
    <w:p w14:paraId="78193C42" w14:textId="77777777" w:rsidR="0071632B" w:rsidRDefault="002B3025" w:rsidP="00634E67">
      <w:pPr>
        <w:pStyle w:val="Prrafodelista"/>
        <w:numPr>
          <w:ilvl w:val="0"/>
          <w:numId w:val="10"/>
        </w:numPr>
        <w:spacing w:after="0" w:line="240" w:lineRule="auto"/>
        <w:ind w:left="567" w:hanging="567"/>
        <w:contextualSpacing w:val="0"/>
        <w:jc w:val="both"/>
        <w:rPr>
          <w:rFonts w:ascii="Verdana" w:hAnsi="Verdana" w:cs="Arial"/>
          <w:bCs/>
          <w:sz w:val="20"/>
          <w:szCs w:val="20"/>
        </w:rPr>
      </w:pPr>
      <w:r w:rsidRPr="0071632B">
        <w:rPr>
          <w:rFonts w:ascii="Verdana" w:hAnsi="Verdana" w:cs="Arial"/>
          <w:bCs/>
          <w:sz w:val="20"/>
          <w:szCs w:val="20"/>
        </w:rPr>
        <w:t>Los créditos incumplidos durante por lo menos los últimos 3 años.</w:t>
      </w:r>
    </w:p>
    <w:p w14:paraId="6AA062C1" w14:textId="77777777" w:rsidR="00E216FE" w:rsidRDefault="00E216FE" w:rsidP="00E216FE">
      <w:pPr>
        <w:pStyle w:val="Prrafodelista"/>
        <w:spacing w:after="0" w:line="240" w:lineRule="auto"/>
        <w:ind w:left="567"/>
        <w:contextualSpacing w:val="0"/>
        <w:jc w:val="both"/>
        <w:rPr>
          <w:rFonts w:ascii="Verdana" w:hAnsi="Verdana" w:cs="Arial"/>
          <w:bCs/>
          <w:sz w:val="20"/>
          <w:szCs w:val="20"/>
        </w:rPr>
      </w:pPr>
    </w:p>
    <w:p w14:paraId="62ABF9B3" w14:textId="4AF31604" w:rsidR="002B3025" w:rsidRDefault="002B3025" w:rsidP="00B929BB">
      <w:pPr>
        <w:pStyle w:val="Prrafodelista"/>
        <w:numPr>
          <w:ilvl w:val="0"/>
          <w:numId w:val="10"/>
        </w:numPr>
        <w:spacing w:after="0" w:line="240" w:lineRule="auto"/>
        <w:ind w:left="567" w:hanging="567"/>
        <w:contextualSpacing w:val="0"/>
        <w:jc w:val="both"/>
        <w:rPr>
          <w:rFonts w:ascii="Verdana" w:hAnsi="Verdana" w:cs="Arial"/>
          <w:bCs/>
          <w:sz w:val="20"/>
          <w:szCs w:val="20"/>
        </w:rPr>
      </w:pPr>
      <w:r w:rsidRPr="0071632B">
        <w:rPr>
          <w:rFonts w:ascii="Verdana" w:hAnsi="Verdana" w:cs="Arial"/>
          <w:bCs/>
          <w:sz w:val="20"/>
          <w:szCs w:val="20"/>
        </w:rPr>
        <w:t>La existencia e idoneidad de las garantías que respaldan los créditos.</w:t>
      </w:r>
    </w:p>
    <w:p w14:paraId="1068C24D" w14:textId="77777777" w:rsidR="00A05F99" w:rsidRPr="00A05F99" w:rsidRDefault="00A05F99" w:rsidP="00A05F99">
      <w:pPr>
        <w:pStyle w:val="Prrafodelista"/>
        <w:spacing w:after="0" w:line="240" w:lineRule="auto"/>
        <w:ind w:left="567"/>
        <w:contextualSpacing w:val="0"/>
        <w:jc w:val="both"/>
        <w:rPr>
          <w:rFonts w:ascii="Verdana" w:hAnsi="Verdana" w:cs="Arial"/>
          <w:bCs/>
          <w:sz w:val="20"/>
          <w:szCs w:val="20"/>
        </w:rPr>
      </w:pPr>
    </w:p>
    <w:p w14:paraId="6F9ED528" w14:textId="58317735" w:rsidR="0071632B" w:rsidRPr="001C6CAB" w:rsidRDefault="0071632B" w:rsidP="0071632B">
      <w:pPr>
        <w:spacing w:after="0"/>
        <w:rPr>
          <w:rFonts w:ascii="Verdana" w:hAnsi="Verdana"/>
          <w:sz w:val="20"/>
          <w:szCs w:val="20"/>
        </w:rPr>
      </w:pPr>
      <w:r w:rsidRPr="001C6CAB">
        <w:rPr>
          <w:rFonts w:ascii="Verdana" w:hAnsi="Verdana"/>
          <w:sz w:val="20"/>
          <w:szCs w:val="20"/>
        </w:rPr>
        <w:lastRenderedPageBreak/>
        <w:t>1.1.3.</w:t>
      </w:r>
      <w:r>
        <w:rPr>
          <w:rFonts w:ascii="Verdana" w:hAnsi="Verdana"/>
          <w:sz w:val="20"/>
          <w:szCs w:val="20"/>
        </w:rPr>
        <w:t>3</w:t>
      </w:r>
      <w:r w:rsidR="00634E67">
        <w:rPr>
          <w:rFonts w:ascii="Verdana" w:hAnsi="Verdana"/>
          <w:sz w:val="20"/>
          <w:szCs w:val="20"/>
        </w:rPr>
        <w:t>3</w:t>
      </w:r>
      <w:r w:rsidRPr="001C6CAB">
        <w:rPr>
          <w:rFonts w:ascii="Verdana" w:hAnsi="Verdana"/>
          <w:sz w:val="20"/>
          <w:szCs w:val="20"/>
        </w:rPr>
        <w:t>.</w:t>
      </w:r>
    </w:p>
    <w:p w14:paraId="7A974322" w14:textId="7B29B99E" w:rsidR="002B3025" w:rsidRPr="002B3025" w:rsidRDefault="002B3025" w:rsidP="00B929BB">
      <w:pPr>
        <w:pStyle w:val="Prrafodelista"/>
        <w:ind w:left="0"/>
        <w:jc w:val="both"/>
        <w:rPr>
          <w:rFonts w:ascii="Verdana" w:hAnsi="Verdana" w:cs="Arial"/>
          <w:bCs/>
          <w:sz w:val="20"/>
          <w:szCs w:val="20"/>
        </w:rPr>
      </w:pPr>
      <w:r w:rsidRPr="002B3025">
        <w:rPr>
          <w:rFonts w:ascii="Verdana" w:hAnsi="Verdana" w:cs="Arial"/>
          <w:bCs/>
          <w:sz w:val="20"/>
          <w:szCs w:val="20"/>
        </w:rPr>
        <w:t>Adicionalmente el modelo de pérdida esperada debe incorporar ajustes contracíclicos de manera que en los períodos de mejora en la calidad crediticia se constituyan mayores provisiones de las que serían necesarias en tales condiciones, a fin de compensar, al menos en parte, las que deberían constituirse en períodos de deterioro en la calidad crediticia.</w:t>
      </w:r>
    </w:p>
    <w:p w14:paraId="520C697D" w14:textId="15B949A6" w:rsidR="0071632B" w:rsidRPr="001C6CAB" w:rsidRDefault="0071632B" w:rsidP="0071632B">
      <w:pPr>
        <w:spacing w:after="0"/>
        <w:rPr>
          <w:rFonts w:ascii="Verdana" w:hAnsi="Verdana"/>
          <w:sz w:val="20"/>
          <w:szCs w:val="20"/>
        </w:rPr>
      </w:pPr>
      <w:r w:rsidRPr="001C6CAB">
        <w:rPr>
          <w:rFonts w:ascii="Verdana" w:hAnsi="Verdana"/>
          <w:sz w:val="20"/>
          <w:szCs w:val="20"/>
        </w:rPr>
        <w:t>1.1.3.</w:t>
      </w:r>
      <w:r>
        <w:rPr>
          <w:rFonts w:ascii="Verdana" w:hAnsi="Verdana"/>
          <w:sz w:val="20"/>
          <w:szCs w:val="20"/>
        </w:rPr>
        <w:t>3</w:t>
      </w:r>
      <w:r w:rsidR="00634E67">
        <w:rPr>
          <w:rFonts w:ascii="Verdana" w:hAnsi="Verdana"/>
          <w:sz w:val="20"/>
          <w:szCs w:val="20"/>
        </w:rPr>
        <w:t>4</w:t>
      </w:r>
      <w:r w:rsidRPr="001C6CAB">
        <w:rPr>
          <w:rFonts w:ascii="Verdana" w:hAnsi="Verdana"/>
          <w:sz w:val="20"/>
          <w:szCs w:val="20"/>
        </w:rPr>
        <w:t>.</w:t>
      </w:r>
    </w:p>
    <w:p w14:paraId="57CF76E2" w14:textId="63E4D669" w:rsidR="002B3DE5" w:rsidRPr="005F2E9F" w:rsidRDefault="002B3025" w:rsidP="005F2E9F">
      <w:pPr>
        <w:jc w:val="both"/>
        <w:rPr>
          <w:rFonts w:ascii="Verdana" w:hAnsi="Verdana" w:cs="Arial"/>
          <w:bCs/>
          <w:sz w:val="20"/>
          <w:szCs w:val="20"/>
        </w:rPr>
      </w:pPr>
      <w:r w:rsidRPr="002B3025">
        <w:rPr>
          <w:rFonts w:ascii="Verdana" w:hAnsi="Verdana" w:cs="Arial"/>
          <w:bCs/>
          <w:sz w:val="20"/>
          <w:szCs w:val="20"/>
        </w:rPr>
        <w:t>Para el cálculo de las variables utilizadas para la estimación de la pérdida esperada la entidad debe considerar los parámetros anteriormente señalados y aplicar los modelos de referencia de acuerdo c</w:t>
      </w:r>
      <w:r w:rsidRPr="00DD0F35">
        <w:rPr>
          <w:rFonts w:ascii="Verdana" w:hAnsi="Verdana" w:cs="Arial"/>
          <w:bCs/>
          <w:sz w:val="20"/>
          <w:szCs w:val="20"/>
        </w:rPr>
        <w:t xml:space="preserve">on las instrucciones del anexo 1 del </w:t>
      </w:r>
      <w:r w:rsidR="00E216FE" w:rsidRPr="00DD0F35">
        <w:rPr>
          <w:rFonts w:ascii="Verdana" w:hAnsi="Verdana" w:cs="Arial"/>
          <w:bCs/>
          <w:sz w:val="20"/>
          <w:szCs w:val="20"/>
        </w:rPr>
        <w:t xml:space="preserve">presente capítulo </w:t>
      </w:r>
      <w:r w:rsidRPr="00DD0F35">
        <w:rPr>
          <w:rFonts w:ascii="Verdana" w:hAnsi="Verdana" w:cs="Arial"/>
          <w:bCs/>
          <w:sz w:val="20"/>
          <w:szCs w:val="20"/>
        </w:rPr>
        <w:t xml:space="preserve">o los modelos internos de la entidad que cuenten con un pronunciamiento de no objeción por parte de la SFC, en los términos establecidos </w:t>
      </w:r>
      <w:r w:rsidR="00DD0F35" w:rsidRPr="00DD0F35">
        <w:rPr>
          <w:rFonts w:ascii="Verdana" w:hAnsi="Verdana" w:cs="Arial"/>
          <w:bCs/>
          <w:sz w:val="20"/>
          <w:szCs w:val="20"/>
        </w:rPr>
        <w:t xml:space="preserve">entre los párrafos 1.1.3.36. y 1.1.3.49. </w:t>
      </w:r>
    </w:p>
    <w:p w14:paraId="51AE3930" w14:textId="6DC5C97B" w:rsidR="001370C7" w:rsidRPr="001C6CAB" w:rsidRDefault="001370C7" w:rsidP="001370C7">
      <w:pPr>
        <w:spacing w:after="0"/>
        <w:rPr>
          <w:rFonts w:ascii="Verdana" w:hAnsi="Verdana"/>
          <w:sz w:val="20"/>
          <w:szCs w:val="20"/>
        </w:rPr>
      </w:pPr>
      <w:r w:rsidRPr="001C6CAB">
        <w:rPr>
          <w:rFonts w:ascii="Verdana" w:hAnsi="Verdana"/>
          <w:sz w:val="20"/>
          <w:szCs w:val="20"/>
        </w:rPr>
        <w:t>1.1.3.</w:t>
      </w:r>
      <w:r>
        <w:rPr>
          <w:rFonts w:ascii="Verdana" w:hAnsi="Verdana"/>
          <w:sz w:val="20"/>
          <w:szCs w:val="20"/>
        </w:rPr>
        <w:t>3</w:t>
      </w:r>
      <w:r w:rsidR="00634E67">
        <w:rPr>
          <w:rFonts w:ascii="Verdana" w:hAnsi="Verdana"/>
          <w:sz w:val="20"/>
          <w:szCs w:val="20"/>
        </w:rPr>
        <w:t>5</w:t>
      </w:r>
      <w:r w:rsidRPr="001C6CAB">
        <w:rPr>
          <w:rFonts w:ascii="Verdana" w:hAnsi="Verdana"/>
          <w:sz w:val="20"/>
          <w:szCs w:val="20"/>
        </w:rPr>
        <w:t>.</w:t>
      </w:r>
    </w:p>
    <w:p w14:paraId="52FE0264" w14:textId="67944505" w:rsidR="002B3025" w:rsidRPr="00EC00F2" w:rsidRDefault="002B3025" w:rsidP="00B929BB">
      <w:pPr>
        <w:jc w:val="both"/>
        <w:rPr>
          <w:rFonts w:ascii="Verdana" w:hAnsi="Verdana" w:cs="Arial"/>
          <w:bCs/>
          <w:sz w:val="20"/>
          <w:szCs w:val="20"/>
        </w:rPr>
      </w:pPr>
      <w:r w:rsidRPr="002B3025">
        <w:rPr>
          <w:rFonts w:ascii="Verdana" w:hAnsi="Verdana" w:cs="Arial"/>
          <w:bCs/>
          <w:sz w:val="20"/>
          <w:szCs w:val="20"/>
        </w:rPr>
        <w:t xml:space="preserve">Para </w:t>
      </w:r>
      <w:r w:rsidR="00892D0B">
        <w:rPr>
          <w:rFonts w:ascii="Verdana" w:hAnsi="Verdana" w:cs="Arial"/>
          <w:bCs/>
          <w:sz w:val="20"/>
          <w:szCs w:val="20"/>
        </w:rPr>
        <w:t xml:space="preserve">el </w:t>
      </w:r>
      <w:r w:rsidRPr="002B3025">
        <w:rPr>
          <w:rFonts w:ascii="Verdana" w:hAnsi="Verdana" w:cs="Arial"/>
          <w:bCs/>
          <w:sz w:val="20"/>
          <w:szCs w:val="20"/>
        </w:rPr>
        <w:t xml:space="preserve">portafolio del consumo, en adición a la estimación de la pérdida esperada conforme </w:t>
      </w:r>
      <w:r w:rsidRPr="00EC00F2">
        <w:rPr>
          <w:rFonts w:ascii="Verdana" w:hAnsi="Verdana" w:cs="Arial"/>
          <w:bCs/>
          <w:sz w:val="20"/>
          <w:szCs w:val="20"/>
        </w:rPr>
        <w:t xml:space="preserve">al modelo de referencia, la entidad debe constituir la provisión individual adicional sobre la cartera de consumo señalada en el </w:t>
      </w:r>
      <w:r w:rsidR="00F04CD3" w:rsidRPr="00EC00F2">
        <w:rPr>
          <w:rFonts w:ascii="Verdana" w:hAnsi="Verdana" w:cs="Arial"/>
          <w:bCs/>
          <w:sz w:val="20"/>
          <w:szCs w:val="20"/>
        </w:rPr>
        <w:t>a</w:t>
      </w:r>
      <w:r w:rsidRPr="00EC00F2">
        <w:rPr>
          <w:rFonts w:ascii="Verdana" w:hAnsi="Verdana" w:cs="Arial"/>
          <w:bCs/>
          <w:sz w:val="20"/>
          <w:szCs w:val="20"/>
        </w:rPr>
        <w:t xml:space="preserve">nexo </w:t>
      </w:r>
      <w:r w:rsidR="00F04CD3" w:rsidRPr="00EC00F2">
        <w:rPr>
          <w:rFonts w:ascii="Verdana" w:hAnsi="Verdana" w:cs="Arial"/>
          <w:bCs/>
          <w:sz w:val="20"/>
          <w:szCs w:val="20"/>
        </w:rPr>
        <w:t xml:space="preserve">1 del presente capítulo. </w:t>
      </w:r>
    </w:p>
    <w:p w14:paraId="75AEAA3D" w14:textId="3FF2A0FE" w:rsidR="002B3025" w:rsidRPr="00EC00F2" w:rsidRDefault="002B3025" w:rsidP="00551D66">
      <w:pPr>
        <w:pStyle w:val="Prrafodelista"/>
        <w:numPr>
          <w:ilvl w:val="0"/>
          <w:numId w:val="40"/>
        </w:numPr>
        <w:ind w:left="567" w:hanging="283"/>
        <w:jc w:val="both"/>
        <w:rPr>
          <w:rFonts w:ascii="Verdana" w:hAnsi="Verdana" w:cs="Arial"/>
          <w:b/>
          <w:sz w:val="20"/>
          <w:szCs w:val="20"/>
        </w:rPr>
      </w:pPr>
      <w:r w:rsidRPr="00EC00F2">
        <w:rPr>
          <w:rFonts w:ascii="Verdana" w:hAnsi="Verdana" w:cs="Arial"/>
          <w:b/>
          <w:sz w:val="20"/>
          <w:szCs w:val="20"/>
        </w:rPr>
        <w:t>Modelos internos para no objeción de la SFC</w:t>
      </w:r>
    </w:p>
    <w:p w14:paraId="5A16F6A1" w14:textId="4B8342DD" w:rsidR="00F91D5D" w:rsidRPr="001C6CAB" w:rsidRDefault="00F91D5D" w:rsidP="00F91D5D">
      <w:pPr>
        <w:spacing w:after="0"/>
        <w:rPr>
          <w:rFonts w:ascii="Verdana" w:hAnsi="Verdana"/>
          <w:sz w:val="20"/>
          <w:szCs w:val="20"/>
        </w:rPr>
      </w:pPr>
      <w:r w:rsidRPr="001C6CAB">
        <w:rPr>
          <w:rFonts w:ascii="Verdana" w:hAnsi="Verdana"/>
          <w:sz w:val="20"/>
          <w:szCs w:val="20"/>
        </w:rPr>
        <w:t>1.1.3.</w:t>
      </w:r>
      <w:r>
        <w:rPr>
          <w:rFonts w:ascii="Verdana" w:hAnsi="Verdana"/>
          <w:sz w:val="20"/>
          <w:szCs w:val="20"/>
        </w:rPr>
        <w:t>3</w:t>
      </w:r>
      <w:r w:rsidR="00262035">
        <w:rPr>
          <w:rFonts w:ascii="Verdana" w:hAnsi="Verdana"/>
          <w:sz w:val="20"/>
          <w:szCs w:val="20"/>
        </w:rPr>
        <w:t>6</w:t>
      </w:r>
      <w:r w:rsidRPr="001C6CAB">
        <w:rPr>
          <w:rFonts w:ascii="Verdana" w:hAnsi="Verdana"/>
          <w:sz w:val="20"/>
          <w:szCs w:val="20"/>
        </w:rPr>
        <w:t>.</w:t>
      </w:r>
    </w:p>
    <w:p w14:paraId="566B6ABE" w14:textId="1C559CBE" w:rsidR="002B3025" w:rsidRPr="002B3025" w:rsidRDefault="002B3025" w:rsidP="00B929BB">
      <w:pPr>
        <w:jc w:val="both"/>
        <w:rPr>
          <w:rFonts w:ascii="Verdana" w:hAnsi="Verdana" w:cs="Arial"/>
          <w:bCs/>
          <w:sz w:val="20"/>
          <w:szCs w:val="20"/>
        </w:rPr>
      </w:pPr>
      <w:r w:rsidRPr="002B3025">
        <w:rPr>
          <w:rFonts w:ascii="Verdana" w:hAnsi="Verdana" w:cs="Arial"/>
          <w:bCs/>
          <w:sz w:val="20"/>
          <w:szCs w:val="20"/>
        </w:rPr>
        <w:t xml:space="preserve">Los modelos internos corresponden a </w:t>
      </w:r>
      <w:r w:rsidRPr="0038271A">
        <w:rPr>
          <w:rFonts w:ascii="Verdana" w:hAnsi="Verdana" w:cs="Arial"/>
          <w:bCs/>
          <w:sz w:val="20"/>
          <w:szCs w:val="20"/>
        </w:rPr>
        <w:t>estructuras cuantitativas para la estimación de la pérdida esperada a la que se refiere</w:t>
      </w:r>
      <w:r w:rsidR="0038271A" w:rsidRPr="0038271A">
        <w:rPr>
          <w:rFonts w:ascii="Verdana" w:hAnsi="Verdana" w:cs="Arial"/>
          <w:bCs/>
          <w:sz w:val="20"/>
          <w:szCs w:val="20"/>
        </w:rPr>
        <w:t xml:space="preserve"> el párrafo 1.1.3.27.</w:t>
      </w:r>
      <w:r w:rsidRPr="0038271A">
        <w:rPr>
          <w:rFonts w:ascii="Verdana" w:hAnsi="Verdana" w:cs="Arial"/>
          <w:bCs/>
          <w:sz w:val="20"/>
          <w:szCs w:val="20"/>
        </w:rPr>
        <w:t xml:space="preserve"> de la presente</w:t>
      </w:r>
      <w:r w:rsidR="0038271A" w:rsidRPr="0038271A">
        <w:rPr>
          <w:rFonts w:ascii="Verdana" w:hAnsi="Verdana" w:cs="Arial"/>
          <w:bCs/>
          <w:sz w:val="20"/>
          <w:szCs w:val="20"/>
        </w:rPr>
        <w:t xml:space="preserve"> sección</w:t>
      </w:r>
      <w:r w:rsidRPr="0038271A">
        <w:rPr>
          <w:rFonts w:ascii="Verdana" w:hAnsi="Verdana" w:cs="Arial"/>
          <w:bCs/>
          <w:sz w:val="20"/>
          <w:szCs w:val="20"/>
        </w:rPr>
        <w:t xml:space="preserve"> y</w:t>
      </w:r>
      <w:r w:rsidRPr="002B3025">
        <w:rPr>
          <w:rFonts w:ascii="Verdana" w:hAnsi="Verdana" w:cs="Arial"/>
          <w:bCs/>
          <w:sz w:val="20"/>
          <w:szCs w:val="20"/>
        </w:rPr>
        <w:t xml:space="preserve"> que pueden sustituir los modelos de referencia siempre que reciban la no objeción de la SFC.</w:t>
      </w:r>
    </w:p>
    <w:p w14:paraId="375FABA6" w14:textId="2A42D0F4" w:rsidR="00A069F6" w:rsidRPr="001C6CAB" w:rsidRDefault="00A069F6" w:rsidP="00A069F6">
      <w:pPr>
        <w:spacing w:after="0"/>
        <w:rPr>
          <w:rFonts w:ascii="Verdana" w:hAnsi="Verdana"/>
          <w:sz w:val="20"/>
          <w:szCs w:val="20"/>
        </w:rPr>
      </w:pPr>
      <w:r w:rsidRPr="001C6CAB">
        <w:rPr>
          <w:rFonts w:ascii="Verdana" w:hAnsi="Verdana"/>
          <w:sz w:val="20"/>
          <w:szCs w:val="20"/>
        </w:rPr>
        <w:t>1.1.3.</w:t>
      </w:r>
      <w:r w:rsidR="00262035">
        <w:rPr>
          <w:rFonts w:ascii="Verdana" w:hAnsi="Verdana"/>
          <w:sz w:val="20"/>
          <w:szCs w:val="20"/>
        </w:rPr>
        <w:t>37</w:t>
      </w:r>
      <w:r w:rsidRPr="001C6CAB">
        <w:rPr>
          <w:rFonts w:ascii="Verdana" w:hAnsi="Verdana"/>
          <w:sz w:val="20"/>
          <w:szCs w:val="20"/>
        </w:rPr>
        <w:t>.</w:t>
      </w:r>
    </w:p>
    <w:p w14:paraId="71EAE724" w14:textId="5EAE06CC" w:rsidR="002B3025" w:rsidRPr="002B3025" w:rsidRDefault="002B3025" w:rsidP="12B437D6">
      <w:pPr>
        <w:jc w:val="both"/>
        <w:rPr>
          <w:rFonts w:ascii="Verdana" w:hAnsi="Verdana" w:cs="Arial"/>
          <w:sz w:val="20"/>
          <w:szCs w:val="20"/>
        </w:rPr>
      </w:pPr>
      <w:r w:rsidRPr="12B437D6">
        <w:rPr>
          <w:rFonts w:ascii="Verdana" w:hAnsi="Verdana" w:cs="Arial"/>
          <w:sz w:val="20"/>
          <w:szCs w:val="20"/>
        </w:rPr>
        <w:t>La entidad que opte por diseñar y adoptar modelos internos para uno o más portafolios, o para uno de los componentes del cálculo de la pérdida esperada, deben presentarlos a la SFC, la cual emitirá un pronunciamiento respecto de su objeción o no para que sean aplicados. En el caso en que el modelo aplique para algunos de los componentes de la pérdida esperada, la entidad debe justificar de forma adecuada esta decisión.</w:t>
      </w:r>
    </w:p>
    <w:p w14:paraId="6272F520" w14:textId="03EC5A09" w:rsidR="00A069F6" w:rsidRPr="001C6CAB" w:rsidRDefault="00A069F6" w:rsidP="00A069F6">
      <w:pPr>
        <w:spacing w:after="0"/>
        <w:rPr>
          <w:rFonts w:ascii="Verdana" w:hAnsi="Verdana"/>
          <w:sz w:val="20"/>
          <w:szCs w:val="20"/>
        </w:rPr>
      </w:pPr>
      <w:r w:rsidRPr="001C6CAB">
        <w:rPr>
          <w:rFonts w:ascii="Verdana" w:hAnsi="Verdana"/>
          <w:sz w:val="20"/>
          <w:szCs w:val="20"/>
        </w:rPr>
        <w:t>1.1.3.</w:t>
      </w:r>
      <w:r w:rsidR="00262035">
        <w:rPr>
          <w:rFonts w:ascii="Verdana" w:hAnsi="Verdana"/>
          <w:sz w:val="20"/>
          <w:szCs w:val="20"/>
        </w:rPr>
        <w:t>38</w:t>
      </w:r>
      <w:r w:rsidRPr="001C6CAB">
        <w:rPr>
          <w:rFonts w:ascii="Verdana" w:hAnsi="Verdana"/>
          <w:sz w:val="20"/>
          <w:szCs w:val="20"/>
        </w:rPr>
        <w:t>.</w:t>
      </w:r>
    </w:p>
    <w:p w14:paraId="49B93862" w14:textId="348BEFCE" w:rsidR="00A069F6" w:rsidRPr="00262035" w:rsidRDefault="002B3025" w:rsidP="00262035">
      <w:pPr>
        <w:tabs>
          <w:tab w:val="left" w:pos="709"/>
        </w:tabs>
        <w:jc w:val="both"/>
        <w:rPr>
          <w:rFonts w:ascii="Verdana" w:hAnsi="Verdana" w:cs="Arial"/>
          <w:sz w:val="20"/>
          <w:szCs w:val="20"/>
        </w:rPr>
      </w:pPr>
      <w:r w:rsidRPr="12B437D6">
        <w:rPr>
          <w:rFonts w:ascii="Verdana" w:hAnsi="Verdana" w:cs="Arial"/>
          <w:sz w:val="20"/>
          <w:szCs w:val="20"/>
        </w:rPr>
        <w:t>La evaluación de los modelos internos se llevará a cabo en forma integral, considerando la consistencia con los elementos definidos en el SIAR, la capacidad predictiva del modelo, así como con los requisitos que se señalan a continuación.</w:t>
      </w:r>
    </w:p>
    <w:p w14:paraId="0CAB1BF1" w14:textId="055C8725" w:rsidR="002B3025" w:rsidRPr="00262035" w:rsidRDefault="002B3025" w:rsidP="00551D66">
      <w:pPr>
        <w:pStyle w:val="Prrafodelista"/>
        <w:numPr>
          <w:ilvl w:val="1"/>
          <w:numId w:val="40"/>
        </w:numPr>
        <w:ind w:left="851" w:hanging="284"/>
        <w:jc w:val="both"/>
        <w:rPr>
          <w:rFonts w:ascii="Verdana" w:hAnsi="Verdana" w:cs="Arial"/>
          <w:b/>
          <w:sz w:val="20"/>
          <w:szCs w:val="20"/>
        </w:rPr>
      </w:pPr>
      <w:r w:rsidRPr="00262035">
        <w:rPr>
          <w:rFonts w:ascii="Verdana" w:hAnsi="Verdana" w:cs="Arial"/>
          <w:b/>
          <w:sz w:val="20"/>
          <w:szCs w:val="20"/>
        </w:rPr>
        <w:t>Requisitos para la presentación del modelo interno</w:t>
      </w:r>
    </w:p>
    <w:p w14:paraId="61B4EC4E" w14:textId="1E1F2238" w:rsidR="00A069F6" w:rsidRPr="001C6CAB" w:rsidRDefault="00A069F6" w:rsidP="00A069F6">
      <w:pPr>
        <w:spacing w:after="0"/>
        <w:rPr>
          <w:rFonts w:ascii="Verdana" w:hAnsi="Verdana"/>
          <w:sz w:val="20"/>
          <w:szCs w:val="20"/>
        </w:rPr>
      </w:pPr>
      <w:r w:rsidRPr="001C6CAB">
        <w:rPr>
          <w:rFonts w:ascii="Verdana" w:hAnsi="Verdana"/>
          <w:sz w:val="20"/>
          <w:szCs w:val="20"/>
        </w:rPr>
        <w:t>1.1.3.</w:t>
      </w:r>
      <w:r w:rsidR="00262035">
        <w:rPr>
          <w:rFonts w:ascii="Verdana" w:hAnsi="Verdana"/>
          <w:sz w:val="20"/>
          <w:szCs w:val="20"/>
        </w:rPr>
        <w:t>39</w:t>
      </w:r>
      <w:r w:rsidRPr="001C6CAB">
        <w:rPr>
          <w:rFonts w:ascii="Verdana" w:hAnsi="Verdana"/>
          <w:sz w:val="20"/>
          <w:szCs w:val="20"/>
        </w:rPr>
        <w:t>.</w:t>
      </w:r>
    </w:p>
    <w:p w14:paraId="28921620" w14:textId="66945938" w:rsidR="002B3025" w:rsidRPr="002B3025" w:rsidRDefault="002B3025" w:rsidP="00B929BB">
      <w:pPr>
        <w:jc w:val="both"/>
        <w:rPr>
          <w:rFonts w:ascii="Verdana" w:hAnsi="Verdana" w:cs="Arial"/>
          <w:bCs/>
          <w:sz w:val="20"/>
          <w:szCs w:val="20"/>
        </w:rPr>
      </w:pPr>
      <w:r w:rsidRPr="002B3025">
        <w:rPr>
          <w:rFonts w:ascii="Verdana" w:hAnsi="Verdana" w:cs="Arial"/>
          <w:bCs/>
          <w:sz w:val="20"/>
          <w:szCs w:val="20"/>
        </w:rPr>
        <w:t xml:space="preserve">Para el diseño del modelo </w:t>
      </w:r>
      <w:r w:rsidR="005532F9">
        <w:rPr>
          <w:rFonts w:ascii="Verdana" w:hAnsi="Verdana" w:cs="Arial"/>
          <w:bCs/>
          <w:sz w:val="20"/>
          <w:szCs w:val="20"/>
        </w:rPr>
        <w:t xml:space="preserve">interno </w:t>
      </w:r>
      <w:r w:rsidRPr="002B3025">
        <w:rPr>
          <w:rFonts w:ascii="Verdana" w:hAnsi="Verdana" w:cs="Arial"/>
          <w:bCs/>
          <w:sz w:val="20"/>
          <w:szCs w:val="20"/>
        </w:rPr>
        <w:t>la entidad debe contar con bases de datos que incorporen información histórica de al menos 7 años; sin embargo, es deber de la entidad conservar la información de las bases de datos de años anteriores. La información histórica de los modelos internos que someta la entidad a consideración de la SFC debe estar actualizada al momento de su presentación.</w:t>
      </w:r>
    </w:p>
    <w:p w14:paraId="19C18805" w14:textId="18322445" w:rsidR="00A069F6" w:rsidRPr="001C6CAB" w:rsidRDefault="00A069F6" w:rsidP="00A069F6">
      <w:pPr>
        <w:spacing w:after="0"/>
        <w:rPr>
          <w:rFonts w:ascii="Verdana" w:hAnsi="Verdana"/>
          <w:sz w:val="20"/>
          <w:szCs w:val="20"/>
        </w:rPr>
      </w:pPr>
      <w:r w:rsidRPr="001C6CAB">
        <w:rPr>
          <w:rFonts w:ascii="Verdana" w:hAnsi="Verdana"/>
          <w:sz w:val="20"/>
          <w:szCs w:val="20"/>
        </w:rPr>
        <w:t>1.1.3.</w:t>
      </w:r>
      <w:r>
        <w:rPr>
          <w:rFonts w:ascii="Verdana" w:hAnsi="Verdana"/>
          <w:sz w:val="20"/>
          <w:szCs w:val="20"/>
        </w:rPr>
        <w:t>4</w:t>
      </w:r>
      <w:r w:rsidR="00262035">
        <w:rPr>
          <w:rFonts w:ascii="Verdana" w:hAnsi="Verdana"/>
          <w:sz w:val="20"/>
          <w:szCs w:val="20"/>
        </w:rPr>
        <w:t>0</w:t>
      </w:r>
      <w:r w:rsidRPr="001C6CAB">
        <w:rPr>
          <w:rFonts w:ascii="Verdana" w:hAnsi="Verdana"/>
          <w:sz w:val="20"/>
          <w:szCs w:val="20"/>
        </w:rPr>
        <w:t>.</w:t>
      </w:r>
    </w:p>
    <w:p w14:paraId="2C2AF299" w14:textId="4EE81E02" w:rsidR="002B3025" w:rsidRPr="002B3025" w:rsidRDefault="002B3025" w:rsidP="00B929BB">
      <w:pPr>
        <w:jc w:val="both"/>
        <w:rPr>
          <w:rFonts w:ascii="Verdana" w:hAnsi="Verdana" w:cs="Arial"/>
          <w:bCs/>
          <w:sz w:val="20"/>
          <w:szCs w:val="20"/>
        </w:rPr>
      </w:pPr>
      <w:r w:rsidRPr="002B3025">
        <w:rPr>
          <w:rFonts w:ascii="Verdana" w:hAnsi="Verdana" w:cs="Arial"/>
          <w:bCs/>
          <w:sz w:val="20"/>
          <w:szCs w:val="20"/>
        </w:rPr>
        <w:t>Para la presentación de los modelos internos a la SFC la entidad debe adjuntar a la solicitud la siguiente información:</w:t>
      </w:r>
    </w:p>
    <w:p w14:paraId="7CBE566A" w14:textId="77777777" w:rsidR="00B37459" w:rsidRDefault="002B3025" w:rsidP="00B37459">
      <w:pPr>
        <w:pStyle w:val="Prrafodelista"/>
        <w:numPr>
          <w:ilvl w:val="0"/>
          <w:numId w:val="11"/>
        </w:numPr>
        <w:spacing w:after="0" w:line="240" w:lineRule="auto"/>
        <w:ind w:left="567" w:hanging="567"/>
        <w:contextualSpacing w:val="0"/>
        <w:jc w:val="both"/>
        <w:rPr>
          <w:rFonts w:ascii="Verdana" w:hAnsi="Verdana" w:cs="Arial"/>
          <w:bCs/>
          <w:sz w:val="20"/>
          <w:szCs w:val="20"/>
        </w:rPr>
      </w:pPr>
      <w:r w:rsidRPr="002B3025">
        <w:rPr>
          <w:rFonts w:ascii="Verdana" w:hAnsi="Verdana" w:cs="Arial"/>
          <w:bCs/>
          <w:sz w:val="20"/>
          <w:szCs w:val="20"/>
        </w:rPr>
        <w:t xml:space="preserve">Los criterios adicionales que definen el evento de incumplimiento de conformidad con </w:t>
      </w:r>
      <w:r w:rsidRPr="00CA349B">
        <w:rPr>
          <w:rFonts w:ascii="Verdana" w:hAnsi="Verdana" w:cs="Arial"/>
          <w:bCs/>
          <w:sz w:val="20"/>
          <w:szCs w:val="20"/>
        </w:rPr>
        <w:t xml:space="preserve">lo establecido en </w:t>
      </w:r>
      <w:r w:rsidR="001E4BD3" w:rsidRPr="00CA349B">
        <w:rPr>
          <w:rFonts w:ascii="Verdana" w:hAnsi="Verdana" w:cs="Arial"/>
          <w:bCs/>
          <w:sz w:val="20"/>
          <w:szCs w:val="20"/>
        </w:rPr>
        <w:t xml:space="preserve">el párrafo 1.1.3.28. </w:t>
      </w:r>
    </w:p>
    <w:p w14:paraId="60DC63F2" w14:textId="77777777" w:rsidR="00B37459" w:rsidRDefault="00B37459" w:rsidP="00B37459">
      <w:pPr>
        <w:pStyle w:val="Prrafodelista"/>
        <w:spacing w:after="0" w:line="240" w:lineRule="auto"/>
        <w:ind w:left="567"/>
        <w:contextualSpacing w:val="0"/>
        <w:jc w:val="both"/>
        <w:rPr>
          <w:rFonts w:ascii="Verdana" w:hAnsi="Verdana" w:cs="Arial"/>
          <w:bCs/>
          <w:sz w:val="20"/>
          <w:szCs w:val="20"/>
        </w:rPr>
      </w:pPr>
    </w:p>
    <w:p w14:paraId="6A56D8AD" w14:textId="77777777" w:rsidR="00B37459" w:rsidRDefault="002B3025" w:rsidP="00B37459">
      <w:pPr>
        <w:pStyle w:val="Prrafodelista"/>
        <w:numPr>
          <w:ilvl w:val="0"/>
          <w:numId w:val="11"/>
        </w:numPr>
        <w:spacing w:after="0" w:line="240" w:lineRule="auto"/>
        <w:ind w:left="567" w:hanging="567"/>
        <w:contextualSpacing w:val="0"/>
        <w:jc w:val="both"/>
        <w:rPr>
          <w:rFonts w:ascii="Verdana" w:hAnsi="Verdana" w:cs="Arial"/>
          <w:bCs/>
          <w:sz w:val="20"/>
          <w:szCs w:val="20"/>
        </w:rPr>
      </w:pPr>
      <w:r w:rsidRPr="00B37459">
        <w:rPr>
          <w:rFonts w:ascii="Verdana" w:hAnsi="Verdana" w:cs="Arial"/>
          <w:bCs/>
          <w:sz w:val="20"/>
          <w:szCs w:val="20"/>
        </w:rPr>
        <w:t>La descripción general de las metodologías y variables empleadas para la construcción del modelo de otorgamiento y seguimiento, presentando las entradas requeridas y las salidas obtenidas.</w:t>
      </w:r>
    </w:p>
    <w:p w14:paraId="20C34489" w14:textId="77777777" w:rsidR="00B37459" w:rsidRPr="00B37459" w:rsidRDefault="00B37459" w:rsidP="00B37459">
      <w:pPr>
        <w:pStyle w:val="Prrafodelista"/>
        <w:rPr>
          <w:rFonts w:ascii="Verdana" w:hAnsi="Verdana" w:cs="Arial"/>
          <w:bCs/>
          <w:sz w:val="20"/>
          <w:szCs w:val="20"/>
        </w:rPr>
      </w:pPr>
    </w:p>
    <w:p w14:paraId="7C39A37B" w14:textId="77777777" w:rsidR="00B37459" w:rsidRDefault="002B3025" w:rsidP="00B37459">
      <w:pPr>
        <w:pStyle w:val="Prrafodelista"/>
        <w:numPr>
          <w:ilvl w:val="0"/>
          <w:numId w:val="11"/>
        </w:numPr>
        <w:spacing w:after="0" w:line="240" w:lineRule="auto"/>
        <w:ind w:left="567" w:hanging="567"/>
        <w:contextualSpacing w:val="0"/>
        <w:jc w:val="both"/>
        <w:rPr>
          <w:rFonts w:ascii="Verdana" w:hAnsi="Verdana" w:cs="Arial"/>
          <w:bCs/>
          <w:sz w:val="20"/>
          <w:szCs w:val="20"/>
        </w:rPr>
      </w:pPr>
      <w:r w:rsidRPr="00B37459">
        <w:rPr>
          <w:rFonts w:ascii="Verdana" w:hAnsi="Verdana" w:cs="Arial"/>
          <w:bCs/>
          <w:sz w:val="20"/>
          <w:szCs w:val="20"/>
        </w:rPr>
        <w:t>Una descripción detallada y específica de los modelos de pérdida esperada, con su base teórica, las variables, supuestos, límites y formulación utilizada en cada caso. Presentar las diferencias frente al modelo de referencia y su justificación.</w:t>
      </w:r>
    </w:p>
    <w:p w14:paraId="4A41A390" w14:textId="77777777" w:rsidR="00B37459" w:rsidRPr="00B37459" w:rsidRDefault="00B37459" w:rsidP="00B37459">
      <w:pPr>
        <w:pStyle w:val="Prrafodelista"/>
        <w:rPr>
          <w:rFonts w:ascii="Verdana" w:hAnsi="Verdana" w:cs="Arial"/>
          <w:bCs/>
          <w:sz w:val="20"/>
          <w:szCs w:val="20"/>
        </w:rPr>
      </w:pPr>
    </w:p>
    <w:p w14:paraId="0CE2807D" w14:textId="77777777" w:rsidR="00B37459" w:rsidRDefault="002B3025" w:rsidP="00B37459">
      <w:pPr>
        <w:pStyle w:val="Prrafodelista"/>
        <w:numPr>
          <w:ilvl w:val="0"/>
          <w:numId w:val="11"/>
        </w:numPr>
        <w:spacing w:after="0" w:line="240" w:lineRule="auto"/>
        <w:ind w:left="567" w:hanging="567"/>
        <w:contextualSpacing w:val="0"/>
        <w:jc w:val="both"/>
        <w:rPr>
          <w:rFonts w:ascii="Verdana" w:hAnsi="Verdana" w:cs="Arial"/>
          <w:bCs/>
          <w:sz w:val="20"/>
          <w:szCs w:val="20"/>
        </w:rPr>
      </w:pPr>
      <w:r w:rsidRPr="00B37459">
        <w:rPr>
          <w:rFonts w:ascii="Verdana" w:hAnsi="Verdana" w:cs="Arial"/>
          <w:bCs/>
          <w:sz w:val="20"/>
          <w:szCs w:val="20"/>
        </w:rPr>
        <w:t>Presentar los cambios o adaptaciones que la entidad haya realizado a las metodologías comúnmente utilizadas.</w:t>
      </w:r>
    </w:p>
    <w:p w14:paraId="6867E764" w14:textId="77777777" w:rsidR="00B37459" w:rsidRPr="00B37459" w:rsidRDefault="00B37459" w:rsidP="00B37459">
      <w:pPr>
        <w:pStyle w:val="Prrafodelista"/>
        <w:rPr>
          <w:rFonts w:ascii="Verdana" w:hAnsi="Verdana" w:cs="Arial"/>
          <w:bCs/>
          <w:sz w:val="20"/>
          <w:szCs w:val="20"/>
        </w:rPr>
      </w:pPr>
    </w:p>
    <w:p w14:paraId="72E7EA00" w14:textId="77777777" w:rsidR="00B37459" w:rsidRDefault="002B3025" w:rsidP="00B37459">
      <w:pPr>
        <w:pStyle w:val="Prrafodelista"/>
        <w:numPr>
          <w:ilvl w:val="0"/>
          <w:numId w:val="11"/>
        </w:numPr>
        <w:spacing w:after="0" w:line="240" w:lineRule="auto"/>
        <w:ind w:left="567" w:hanging="567"/>
        <w:contextualSpacing w:val="0"/>
        <w:jc w:val="both"/>
        <w:rPr>
          <w:rFonts w:ascii="Verdana" w:hAnsi="Verdana" w:cs="Arial"/>
          <w:bCs/>
          <w:sz w:val="20"/>
          <w:szCs w:val="20"/>
        </w:rPr>
      </w:pPr>
      <w:r w:rsidRPr="00B37459">
        <w:rPr>
          <w:rFonts w:ascii="Verdana" w:hAnsi="Verdana" w:cs="Arial"/>
          <w:bCs/>
          <w:sz w:val="20"/>
          <w:szCs w:val="20"/>
        </w:rPr>
        <w:lastRenderedPageBreak/>
        <w:t>La descripción del proceso de implementación del modelo presentado.</w:t>
      </w:r>
    </w:p>
    <w:p w14:paraId="4609037A" w14:textId="77777777" w:rsidR="00B37459" w:rsidRPr="00B37459" w:rsidRDefault="00B37459" w:rsidP="00B37459">
      <w:pPr>
        <w:pStyle w:val="Prrafodelista"/>
        <w:rPr>
          <w:rFonts w:ascii="Verdana" w:hAnsi="Verdana" w:cs="Arial"/>
          <w:bCs/>
          <w:sz w:val="20"/>
          <w:szCs w:val="20"/>
        </w:rPr>
      </w:pPr>
    </w:p>
    <w:p w14:paraId="36B14A99" w14:textId="7079358D" w:rsidR="00B37459" w:rsidRDefault="002B3025" w:rsidP="00B37459">
      <w:pPr>
        <w:pStyle w:val="Prrafodelista"/>
        <w:numPr>
          <w:ilvl w:val="0"/>
          <w:numId w:val="11"/>
        </w:numPr>
        <w:spacing w:after="0" w:line="240" w:lineRule="auto"/>
        <w:ind w:left="567" w:hanging="567"/>
        <w:contextualSpacing w:val="0"/>
        <w:jc w:val="both"/>
        <w:rPr>
          <w:rFonts w:ascii="Verdana" w:hAnsi="Verdana" w:cs="Arial"/>
          <w:bCs/>
          <w:sz w:val="20"/>
          <w:szCs w:val="20"/>
        </w:rPr>
      </w:pPr>
      <w:r w:rsidRPr="00B37459">
        <w:rPr>
          <w:rFonts w:ascii="Verdana" w:hAnsi="Verdana" w:cs="Arial"/>
          <w:bCs/>
          <w:sz w:val="20"/>
          <w:szCs w:val="20"/>
        </w:rPr>
        <w:t xml:space="preserve">El impacto estimado en los estados financieros derivado de la aplicación del modelo </w:t>
      </w:r>
      <w:r w:rsidR="00627271">
        <w:rPr>
          <w:rFonts w:ascii="Verdana" w:hAnsi="Verdana" w:cs="Arial"/>
          <w:bCs/>
          <w:sz w:val="20"/>
          <w:szCs w:val="20"/>
        </w:rPr>
        <w:t xml:space="preserve">interno </w:t>
      </w:r>
      <w:r w:rsidRPr="00B37459">
        <w:rPr>
          <w:rFonts w:ascii="Verdana" w:hAnsi="Verdana" w:cs="Arial"/>
          <w:bCs/>
          <w:sz w:val="20"/>
          <w:szCs w:val="20"/>
        </w:rPr>
        <w:t>presentado a la SFC, frente a la situación actual de la entidad.</w:t>
      </w:r>
    </w:p>
    <w:p w14:paraId="4A87A706" w14:textId="77777777" w:rsidR="00B37459" w:rsidRPr="00B37459" w:rsidRDefault="00B37459" w:rsidP="00B37459">
      <w:pPr>
        <w:pStyle w:val="Prrafodelista"/>
        <w:rPr>
          <w:rFonts w:ascii="Verdana" w:hAnsi="Verdana" w:cs="Arial"/>
          <w:bCs/>
          <w:sz w:val="20"/>
          <w:szCs w:val="20"/>
        </w:rPr>
      </w:pPr>
    </w:p>
    <w:p w14:paraId="49CCC619" w14:textId="77777777" w:rsidR="00B37459" w:rsidRDefault="002B3025" w:rsidP="00B37459">
      <w:pPr>
        <w:pStyle w:val="Prrafodelista"/>
        <w:numPr>
          <w:ilvl w:val="0"/>
          <w:numId w:val="11"/>
        </w:numPr>
        <w:spacing w:after="0" w:line="240" w:lineRule="auto"/>
        <w:ind w:left="567" w:hanging="567"/>
        <w:contextualSpacing w:val="0"/>
        <w:jc w:val="both"/>
        <w:rPr>
          <w:rFonts w:ascii="Verdana" w:hAnsi="Verdana" w:cs="Arial"/>
          <w:bCs/>
          <w:sz w:val="20"/>
          <w:szCs w:val="20"/>
        </w:rPr>
      </w:pPr>
      <w:r w:rsidRPr="00B37459">
        <w:rPr>
          <w:rFonts w:ascii="Verdana" w:hAnsi="Verdana" w:cs="Arial"/>
          <w:bCs/>
          <w:sz w:val="20"/>
          <w:szCs w:val="20"/>
        </w:rPr>
        <w:t>Las series de datos de la pérdida esperada estimada y de la pérdida realmente observada.</w:t>
      </w:r>
    </w:p>
    <w:p w14:paraId="4FD883A0" w14:textId="77777777" w:rsidR="00B37459" w:rsidRPr="00B37459" w:rsidRDefault="00B37459" w:rsidP="00B37459">
      <w:pPr>
        <w:pStyle w:val="Prrafodelista"/>
        <w:rPr>
          <w:rFonts w:ascii="Verdana" w:hAnsi="Verdana" w:cs="Arial"/>
          <w:bCs/>
          <w:sz w:val="20"/>
          <w:szCs w:val="20"/>
        </w:rPr>
      </w:pPr>
    </w:p>
    <w:p w14:paraId="18C28854" w14:textId="77777777" w:rsidR="00B37459" w:rsidRDefault="002B3025" w:rsidP="00B37459">
      <w:pPr>
        <w:pStyle w:val="Prrafodelista"/>
        <w:numPr>
          <w:ilvl w:val="0"/>
          <w:numId w:val="11"/>
        </w:numPr>
        <w:spacing w:after="0" w:line="240" w:lineRule="auto"/>
        <w:ind w:left="567" w:hanging="567"/>
        <w:contextualSpacing w:val="0"/>
        <w:jc w:val="both"/>
        <w:rPr>
          <w:rFonts w:ascii="Verdana" w:hAnsi="Verdana" w:cs="Arial"/>
          <w:bCs/>
          <w:sz w:val="20"/>
          <w:szCs w:val="20"/>
        </w:rPr>
      </w:pPr>
      <w:r w:rsidRPr="00B37459">
        <w:rPr>
          <w:rFonts w:ascii="Verdana" w:hAnsi="Verdana" w:cs="Arial"/>
          <w:bCs/>
          <w:sz w:val="20"/>
          <w:szCs w:val="20"/>
        </w:rPr>
        <w:t>Los resultados de las pruebas de desempeño realizadas durante los últimos 6 meses.</w:t>
      </w:r>
    </w:p>
    <w:p w14:paraId="79F4B1D7" w14:textId="77777777" w:rsidR="00B37459" w:rsidRPr="00B37459" w:rsidRDefault="00B37459" w:rsidP="00B37459">
      <w:pPr>
        <w:pStyle w:val="Prrafodelista"/>
        <w:rPr>
          <w:rFonts w:ascii="Verdana" w:hAnsi="Verdana" w:cs="Arial"/>
          <w:sz w:val="20"/>
          <w:szCs w:val="20"/>
        </w:rPr>
      </w:pPr>
    </w:p>
    <w:p w14:paraId="63CCDDF2" w14:textId="5AB5B45B" w:rsidR="00B37459" w:rsidRPr="00B37459" w:rsidRDefault="002B3025" w:rsidP="00B37459">
      <w:pPr>
        <w:pStyle w:val="Prrafodelista"/>
        <w:numPr>
          <w:ilvl w:val="0"/>
          <w:numId w:val="11"/>
        </w:numPr>
        <w:spacing w:after="0" w:line="240" w:lineRule="auto"/>
        <w:ind w:left="567" w:hanging="567"/>
        <w:contextualSpacing w:val="0"/>
        <w:jc w:val="both"/>
        <w:rPr>
          <w:rFonts w:ascii="Verdana" w:hAnsi="Verdana" w:cs="Arial"/>
          <w:bCs/>
          <w:sz w:val="20"/>
          <w:szCs w:val="20"/>
        </w:rPr>
      </w:pPr>
      <w:r w:rsidRPr="00B37459">
        <w:rPr>
          <w:rFonts w:ascii="Verdana" w:hAnsi="Verdana" w:cs="Arial"/>
          <w:sz w:val="20"/>
          <w:szCs w:val="20"/>
        </w:rPr>
        <w:t xml:space="preserve">En todo caso mientras el seguimiento al desempeño del modelo no cubra por lo menos ese lapso de tiempo, la entidad no puede utilizar el modelo </w:t>
      </w:r>
      <w:r w:rsidR="00EA35F0">
        <w:rPr>
          <w:rFonts w:ascii="Verdana" w:hAnsi="Verdana" w:cs="Arial"/>
          <w:sz w:val="20"/>
          <w:szCs w:val="20"/>
        </w:rPr>
        <w:t xml:space="preserve">interno </w:t>
      </w:r>
      <w:r w:rsidRPr="00B37459">
        <w:rPr>
          <w:rFonts w:ascii="Verdana" w:hAnsi="Verdana" w:cs="Arial"/>
          <w:sz w:val="20"/>
          <w:szCs w:val="20"/>
        </w:rPr>
        <w:t>como herramienta para la evaluación de la exposición al riesgo.</w:t>
      </w:r>
    </w:p>
    <w:p w14:paraId="456B707E" w14:textId="77777777" w:rsidR="00B37459" w:rsidRPr="00B37459" w:rsidRDefault="00B37459" w:rsidP="00B37459">
      <w:pPr>
        <w:pStyle w:val="Prrafodelista"/>
        <w:rPr>
          <w:rFonts w:ascii="Verdana" w:hAnsi="Verdana" w:cs="Arial"/>
          <w:bCs/>
          <w:sz w:val="20"/>
          <w:szCs w:val="20"/>
        </w:rPr>
      </w:pPr>
    </w:p>
    <w:p w14:paraId="1452F07D" w14:textId="77777777" w:rsidR="00B37459" w:rsidRDefault="002B3025" w:rsidP="00B37459">
      <w:pPr>
        <w:pStyle w:val="Prrafodelista"/>
        <w:numPr>
          <w:ilvl w:val="0"/>
          <w:numId w:val="11"/>
        </w:numPr>
        <w:spacing w:after="0" w:line="240" w:lineRule="auto"/>
        <w:ind w:left="567" w:hanging="567"/>
        <w:contextualSpacing w:val="0"/>
        <w:jc w:val="both"/>
        <w:rPr>
          <w:rFonts w:ascii="Verdana" w:hAnsi="Verdana" w:cs="Arial"/>
          <w:bCs/>
          <w:sz w:val="20"/>
          <w:szCs w:val="20"/>
        </w:rPr>
      </w:pPr>
      <w:r w:rsidRPr="00B37459">
        <w:rPr>
          <w:rFonts w:ascii="Verdana" w:hAnsi="Verdana" w:cs="Arial"/>
          <w:bCs/>
          <w:sz w:val="20"/>
          <w:szCs w:val="20"/>
        </w:rPr>
        <w:t>Los resultados de las pruebas de estrés.</w:t>
      </w:r>
    </w:p>
    <w:p w14:paraId="4CE0A52E" w14:textId="77777777" w:rsidR="00B37459" w:rsidRPr="00B37459" w:rsidRDefault="00B37459" w:rsidP="00B37459">
      <w:pPr>
        <w:pStyle w:val="Prrafodelista"/>
        <w:rPr>
          <w:rFonts w:ascii="Verdana" w:hAnsi="Verdana" w:cs="Arial"/>
          <w:bCs/>
          <w:sz w:val="20"/>
          <w:szCs w:val="20"/>
        </w:rPr>
      </w:pPr>
    </w:p>
    <w:p w14:paraId="043ECAE7" w14:textId="77777777" w:rsidR="00B37459" w:rsidRDefault="002B3025" w:rsidP="00B37459">
      <w:pPr>
        <w:pStyle w:val="Prrafodelista"/>
        <w:numPr>
          <w:ilvl w:val="0"/>
          <w:numId w:val="11"/>
        </w:numPr>
        <w:spacing w:after="0" w:line="240" w:lineRule="auto"/>
        <w:ind w:left="567" w:hanging="567"/>
        <w:contextualSpacing w:val="0"/>
        <w:jc w:val="both"/>
        <w:rPr>
          <w:rFonts w:ascii="Verdana" w:hAnsi="Verdana" w:cs="Arial"/>
          <w:bCs/>
          <w:sz w:val="20"/>
          <w:szCs w:val="20"/>
        </w:rPr>
      </w:pPr>
      <w:r w:rsidRPr="00B37459">
        <w:rPr>
          <w:rFonts w:ascii="Verdana" w:hAnsi="Verdana" w:cs="Arial"/>
          <w:bCs/>
          <w:sz w:val="20"/>
          <w:szCs w:val="20"/>
        </w:rPr>
        <w:t>Una descripción detallada de la estructura de límites y de su cumplimiento durante el último año.</w:t>
      </w:r>
    </w:p>
    <w:p w14:paraId="77FAA035" w14:textId="77777777" w:rsidR="00B37459" w:rsidRPr="00B37459" w:rsidRDefault="00B37459" w:rsidP="00B37459">
      <w:pPr>
        <w:pStyle w:val="Prrafodelista"/>
        <w:rPr>
          <w:rFonts w:ascii="Verdana" w:hAnsi="Verdana" w:cs="Arial"/>
          <w:bCs/>
          <w:sz w:val="20"/>
          <w:szCs w:val="20"/>
        </w:rPr>
      </w:pPr>
    </w:p>
    <w:p w14:paraId="1DBA639A" w14:textId="53FF4D21" w:rsidR="002B3025" w:rsidRPr="00B37459" w:rsidRDefault="002B3025" w:rsidP="00B37459">
      <w:pPr>
        <w:pStyle w:val="Prrafodelista"/>
        <w:numPr>
          <w:ilvl w:val="0"/>
          <w:numId w:val="11"/>
        </w:numPr>
        <w:spacing w:after="0" w:line="240" w:lineRule="auto"/>
        <w:ind w:left="567" w:hanging="567"/>
        <w:contextualSpacing w:val="0"/>
        <w:jc w:val="both"/>
        <w:rPr>
          <w:rFonts w:ascii="Verdana" w:hAnsi="Verdana" w:cs="Arial"/>
          <w:bCs/>
          <w:sz w:val="20"/>
          <w:szCs w:val="20"/>
        </w:rPr>
      </w:pPr>
      <w:r w:rsidRPr="00B37459">
        <w:rPr>
          <w:rFonts w:ascii="Verdana" w:hAnsi="Verdana" w:cs="Arial"/>
          <w:bCs/>
          <w:sz w:val="20"/>
          <w:szCs w:val="20"/>
        </w:rPr>
        <w:t>Acta de la JD en la que conste la revisión y aprobación de dicho modelo.</w:t>
      </w:r>
    </w:p>
    <w:p w14:paraId="1977A192" w14:textId="77777777" w:rsidR="00B37459" w:rsidRDefault="00B37459" w:rsidP="00533C4E">
      <w:pPr>
        <w:spacing w:after="0"/>
        <w:rPr>
          <w:rFonts w:ascii="Verdana" w:hAnsi="Verdana"/>
          <w:sz w:val="20"/>
          <w:szCs w:val="20"/>
        </w:rPr>
      </w:pPr>
    </w:p>
    <w:p w14:paraId="27235133" w14:textId="3F1B6828" w:rsidR="00533C4E" w:rsidRPr="001C6CAB" w:rsidRDefault="00533C4E" w:rsidP="00533C4E">
      <w:pPr>
        <w:spacing w:after="0"/>
        <w:rPr>
          <w:rFonts w:ascii="Verdana" w:hAnsi="Verdana"/>
          <w:sz w:val="20"/>
          <w:szCs w:val="20"/>
        </w:rPr>
      </w:pPr>
      <w:r w:rsidRPr="001C6CAB">
        <w:rPr>
          <w:rFonts w:ascii="Verdana" w:hAnsi="Verdana"/>
          <w:sz w:val="20"/>
          <w:szCs w:val="20"/>
        </w:rPr>
        <w:t>1.1.3.</w:t>
      </w:r>
      <w:r>
        <w:rPr>
          <w:rFonts w:ascii="Verdana" w:hAnsi="Verdana"/>
          <w:sz w:val="20"/>
          <w:szCs w:val="20"/>
        </w:rPr>
        <w:t>4</w:t>
      </w:r>
      <w:r w:rsidR="00A05F99">
        <w:rPr>
          <w:rFonts w:ascii="Verdana" w:hAnsi="Verdana"/>
          <w:sz w:val="20"/>
          <w:szCs w:val="20"/>
        </w:rPr>
        <w:t>1</w:t>
      </w:r>
      <w:r w:rsidRPr="001C6CAB">
        <w:rPr>
          <w:rFonts w:ascii="Verdana" w:hAnsi="Verdana"/>
          <w:sz w:val="20"/>
          <w:szCs w:val="20"/>
        </w:rPr>
        <w:t>.</w:t>
      </w:r>
    </w:p>
    <w:p w14:paraId="15E708FA" w14:textId="3C941B47" w:rsidR="002B3025" w:rsidRPr="002B3025" w:rsidRDefault="002B3025" w:rsidP="00B929BB">
      <w:pPr>
        <w:suppressAutoHyphens/>
        <w:jc w:val="both"/>
        <w:rPr>
          <w:rFonts w:ascii="Verdana" w:hAnsi="Verdana" w:cs="Arial"/>
          <w:bCs/>
          <w:spacing w:val="20"/>
          <w:sz w:val="20"/>
          <w:szCs w:val="20"/>
        </w:rPr>
      </w:pPr>
      <w:r w:rsidRPr="002B3025">
        <w:rPr>
          <w:rFonts w:ascii="Verdana" w:hAnsi="Verdana" w:cs="Arial"/>
          <w:bCs/>
          <w:sz w:val="20"/>
          <w:szCs w:val="20"/>
        </w:rPr>
        <w:t xml:space="preserve">No obstante, la remisión de la información anteriormente señalada, la SFC puede solicitar </w:t>
      </w:r>
      <w:r w:rsidR="00421E46">
        <w:rPr>
          <w:rFonts w:ascii="Verdana" w:hAnsi="Verdana" w:cs="Arial"/>
          <w:bCs/>
          <w:sz w:val="20"/>
          <w:szCs w:val="20"/>
        </w:rPr>
        <w:t xml:space="preserve">la </w:t>
      </w:r>
      <w:r w:rsidRPr="002B3025">
        <w:rPr>
          <w:rFonts w:ascii="Verdana" w:hAnsi="Verdana" w:cs="Arial"/>
          <w:bCs/>
          <w:sz w:val="20"/>
          <w:szCs w:val="20"/>
        </w:rPr>
        <w:t>información complementaria que considere pertinente.</w:t>
      </w:r>
    </w:p>
    <w:p w14:paraId="42CD7086" w14:textId="10D7742C" w:rsidR="00784907" w:rsidRPr="001C6CAB" w:rsidRDefault="00784907" w:rsidP="00784907">
      <w:pPr>
        <w:spacing w:after="0"/>
        <w:rPr>
          <w:rFonts w:ascii="Verdana" w:hAnsi="Verdana"/>
          <w:sz w:val="20"/>
          <w:szCs w:val="20"/>
        </w:rPr>
      </w:pPr>
      <w:r w:rsidRPr="001C6CAB">
        <w:rPr>
          <w:rFonts w:ascii="Verdana" w:hAnsi="Verdana"/>
          <w:sz w:val="20"/>
          <w:szCs w:val="20"/>
        </w:rPr>
        <w:t>1.1.3.</w:t>
      </w:r>
      <w:r>
        <w:rPr>
          <w:rFonts w:ascii="Verdana" w:hAnsi="Verdana"/>
          <w:sz w:val="20"/>
          <w:szCs w:val="20"/>
        </w:rPr>
        <w:t>4</w:t>
      </w:r>
      <w:r w:rsidR="00A05F99">
        <w:rPr>
          <w:rFonts w:ascii="Verdana" w:hAnsi="Verdana"/>
          <w:sz w:val="20"/>
          <w:szCs w:val="20"/>
        </w:rPr>
        <w:t>2</w:t>
      </w:r>
      <w:r w:rsidRPr="001C6CAB">
        <w:rPr>
          <w:rFonts w:ascii="Verdana" w:hAnsi="Verdana"/>
          <w:sz w:val="20"/>
          <w:szCs w:val="20"/>
        </w:rPr>
        <w:t>.</w:t>
      </w:r>
    </w:p>
    <w:p w14:paraId="2DEB5077" w14:textId="63ED768F" w:rsidR="002B3025" w:rsidRPr="002B3025" w:rsidRDefault="002B3025" w:rsidP="12B437D6">
      <w:pPr>
        <w:jc w:val="both"/>
        <w:rPr>
          <w:rFonts w:ascii="Verdana" w:hAnsi="Verdana" w:cs="Arial"/>
          <w:sz w:val="20"/>
          <w:szCs w:val="20"/>
        </w:rPr>
      </w:pPr>
      <w:r w:rsidRPr="12B437D6">
        <w:rPr>
          <w:rFonts w:ascii="Verdana" w:hAnsi="Verdana" w:cs="Arial"/>
          <w:sz w:val="20"/>
          <w:szCs w:val="20"/>
        </w:rPr>
        <w:t xml:space="preserve">En caso de ser admitido el modelo elaborado por la entidad para prueba de la SFC, éste </w:t>
      </w:r>
      <w:r w:rsidRPr="12B437D6">
        <w:rPr>
          <w:rFonts w:ascii="Verdana" w:hAnsi="Verdana" w:cs="Arial"/>
          <w:sz w:val="20"/>
          <w:szCs w:val="20"/>
          <w:lang w:eastAsia="es-CO"/>
        </w:rPr>
        <w:t xml:space="preserve">será puesto en evaluación durante un período de prueba mayor o igual a 12 meses para verificar, entre otros, su consistencia, estabilidad y eficiencia en la estimación de </w:t>
      </w:r>
      <w:r w:rsidR="00C27E0C">
        <w:rPr>
          <w:rFonts w:ascii="Verdana" w:hAnsi="Verdana" w:cs="Arial"/>
          <w:sz w:val="20"/>
          <w:szCs w:val="20"/>
          <w:lang w:eastAsia="es-CO"/>
        </w:rPr>
        <w:t xml:space="preserve">las </w:t>
      </w:r>
      <w:r w:rsidRPr="12B437D6">
        <w:rPr>
          <w:rFonts w:ascii="Verdana" w:hAnsi="Verdana" w:cs="Arial"/>
          <w:sz w:val="20"/>
          <w:szCs w:val="20"/>
          <w:lang w:eastAsia="es-CO"/>
        </w:rPr>
        <w:t xml:space="preserve">pérdidas esperadas. Durante el periodo de prueba la entidad debe efectuar el cálculo de </w:t>
      </w:r>
      <w:r w:rsidR="00C27E0C">
        <w:rPr>
          <w:rFonts w:ascii="Verdana" w:hAnsi="Verdana" w:cs="Arial"/>
          <w:sz w:val="20"/>
          <w:szCs w:val="20"/>
          <w:lang w:eastAsia="es-CO"/>
        </w:rPr>
        <w:t xml:space="preserve"> </w:t>
      </w:r>
      <w:r w:rsidRPr="12B437D6">
        <w:rPr>
          <w:rFonts w:ascii="Verdana" w:hAnsi="Verdana" w:cs="Arial"/>
          <w:sz w:val="20"/>
          <w:szCs w:val="20"/>
          <w:lang w:eastAsia="es-CO"/>
        </w:rPr>
        <w:t xml:space="preserve">provisiones de acuerdo con su modelo interno admitido. En todo caso, debe continuar efectuando el cálculo y registro de las provisiones para el respectivo portafolio, de acuerdo </w:t>
      </w:r>
      <w:r w:rsidRPr="00385799">
        <w:rPr>
          <w:rFonts w:ascii="Verdana" w:hAnsi="Verdana" w:cs="Arial"/>
          <w:sz w:val="20"/>
          <w:szCs w:val="20"/>
          <w:lang w:eastAsia="es-CO"/>
        </w:rPr>
        <w:t>con lo establecido en el anexo 1 d</w:t>
      </w:r>
      <w:r w:rsidR="00B37459" w:rsidRPr="00385799">
        <w:rPr>
          <w:rFonts w:ascii="Verdana" w:hAnsi="Verdana" w:cs="Arial"/>
          <w:sz w:val="20"/>
          <w:szCs w:val="20"/>
          <w:lang w:eastAsia="es-CO"/>
        </w:rPr>
        <w:t>el presente capítulo</w:t>
      </w:r>
      <w:r w:rsidR="00385799" w:rsidRPr="00385799">
        <w:rPr>
          <w:rFonts w:ascii="Verdana" w:hAnsi="Verdana" w:cs="Arial"/>
          <w:sz w:val="20"/>
          <w:szCs w:val="20"/>
          <w:lang w:eastAsia="es-CO"/>
        </w:rPr>
        <w:t>.</w:t>
      </w:r>
    </w:p>
    <w:p w14:paraId="25AA4468" w14:textId="244D30D3" w:rsidR="00784907" w:rsidRPr="001C6CAB" w:rsidRDefault="00784907" w:rsidP="00784907">
      <w:pPr>
        <w:spacing w:after="0"/>
        <w:rPr>
          <w:rFonts w:ascii="Verdana" w:hAnsi="Verdana"/>
          <w:sz w:val="20"/>
          <w:szCs w:val="20"/>
        </w:rPr>
      </w:pPr>
      <w:r w:rsidRPr="001C6CAB">
        <w:rPr>
          <w:rFonts w:ascii="Verdana" w:hAnsi="Verdana"/>
          <w:sz w:val="20"/>
          <w:szCs w:val="20"/>
        </w:rPr>
        <w:t>1.1.3.</w:t>
      </w:r>
      <w:r>
        <w:rPr>
          <w:rFonts w:ascii="Verdana" w:hAnsi="Verdana"/>
          <w:sz w:val="20"/>
          <w:szCs w:val="20"/>
        </w:rPr>
        <w:t>4</w:t>
      </w:r>
      <w:r w:rsidR="00A05F99">
        <w:rPr>
          <w:rFonts w:ascii="Verdana" w:hAnsi="Verdana"/>
          <w:sz w:val="20"/>
          <w:szCs w:val="20"/>
        </w:rPr>
        <w:t>3</w:t>
      </w:r>
      <w:r w:rsidRPr="001C6CAB">
        <w:rPr>
          <w:rFonts w:ascii="Verdana" w:hAnsi="Verdana"/>
          <w:sz w:val="20"/>
          <w:szCs w:val="20"/>
        </w:rPr>
        <w:t>.</w:t>
      </w:r>
    </w:p>
    <w:p w14:paraId="7B96607C" w14:textId="77777777" w:rsidR="002B3025" w:rsidRPr="002B3025" w:rsidRDefault="002B3025" w:rsidP="00B929BB">
      <w:pPr>
        <w:tabs>
          <w:tab w:val="num" w:pos="-120"/>
        </w:tabs>
        <w:jc w:val="both"/>
        <w:rPr>
          <w:rFonts w:ascii="Verdana" w:hAnsi="Verdana" w:cs="Arial"/>
          <w:bCs/>
          <w:sz w:val="20"/>
          <w:szCs w:val="20"/>
        </w:rPr>
      </w:pPr>
      <w:r w:rsidRPr="002B3025">
        <w:rPr>
          <w:rFonts w:ascii="Verdana" w:hAnsi="Verdana" w:cs="Arial"/>
          <w:bCs/>
          <w:sz w:val="20"/>
          <w:szCs w:val="20"/>
        </w:rPr>
        <w:t>En cualquier momento de su sometimiento a pruebas, un modelo interno puede ser objetado por la SFC quien expondrá a la entidad las razones de objeción.</w:t>
      </w:r>
    </w:p>
    <w:p w14:paraId="71EBA93C" w14:textId="1AE1259E" w:rsidR="002B3025" w:rsidRPr="00C06486" w:rsidRDefault="002B3025" w:rsidP="00551D66">
      <w:pPr>
        <w:pStyle w:val="Prrafodelista"/>
        <w:numPr>
          <w:ilvl w:val="1"/>
          <w:numId w:val="40"/>
        </w:numPr>
        <w:spacing w:after="200" w:line="276" w:lineRule="auto"/>
        <w:ind w:left="851" w:hanging="284"/>
        <w:rPr>
          <w:rFonts w:ascii="Verdana" w:hAnsi="Verdana" w:cs="Arial"/>
          <w:b/>
          <w:sz w:val="20"/>
          <w:szCs w:val="20"/>
        </w:rPr>
      </w:pPr>
      <w:r w:rsidRPr="00C06486">
        <w:rPr>
          <w:rFonts w:ascii="Verdana" w:hAnsi="Verdana" w:cs="Arial"/>
          <w:b/>
          <w:sz w:val="20"/>
          <w:szCs w:val="20"/>
        </w:rPr>
        <w:t>Modelo no objetado</w:t>
      </w:r>
    </w:p>
    <w:p w14:paraId="51277AAD" w14:textId="5F982D29" w:rsidR="00BF04F0" w:rsidRPr="001C6CAB" w:rsidRDefault="00BF04F0" w:rsidP="00BF04F0">
      <w:pPr>
        <w:spacing w:after="0"/>
        <w:rPr>
          <w:rFonts w:ascii="Verdana" w:hAnsi="Verdana"/>
          <w:sz w:val="20"/>
          <w:szCs w:val="20"/>
        </w:rPr>
      </w:pPr>
      <w:r w:rsidRPr="001C6CAB">
        <w:rPr>
          <w:rFonts w:ascii="Verdana" w:hAnsi="Verdana"/>
          <w:sz w:val="20"/>
          <w:szCs w:val="20"/>
        </w:rPr>
        <w:t>1.1.3.</w:t>
      </w:r>
      <w:r>
        <w:rPr>
          <w:rFonts w:ascii="Verdana" w:hAnsi="Verdana"/>
          <w:sz w:val="20"/>
          <w:szCs w:val="20"/>
        </w:rPr>
        <w:t>4</w:t>
      </w:r>
      <w:r w:rsidR="00A05F99">
        <w:rPr>
          <w:rFonts w:ascii="Verdana" w:hAnsi="Verdana"/>
          <w:sz w:val="20"/>
          <w:szCs w:val="20"/>
        </w:rPr>
        <w:t>4</w:t>
      </w:r>
      <w:r w:rsidRPr="001C6CAB">
        <w:rPr>
          <w:rFonts w:ascii="Verdana" w:hAnsi="Verdana"/>
          <w:sz w:val="20"/>
          <w:szCs w:val="20"/>
        </w:rPr>
        <w:t>.</w:t>
      </w:r>
    </w:p>
    <w:p w14:paraId="78C85F66" w14:textId="703C949F" w:rsidR="002B3025" w:rsidRPr="002B3025" w:rsidRDefault="002B3025" w:rsidP="12B437D6">
      <w:pPr>
        <w:autoSpaceDE w:val="0"/>
        <w:autoSpaceDN w:val="0"/>
        <w:adjustRightInd w:val="0"/>
        <w:jc w:val="both"/>
        <w:rPr>
          <w:rFonts w:ascii="Verdana" w:hAnsi="Verdana" w:cs="Arial"/>
          <w:sz w:val="20"/>
          <w:szCs w:val="20"/>
          <w:lang w:eastAsia="es-CO"/>
        </w:rPr>
      </w:pPr>
      <w:r w:rsidRPr="12B437D6">
        <w:rPr>
          <w:rFonts w:ascii="Verdana" w:hAnsi="Verdana" w:cs="Arial"/>
          <w:sz w:val="20"/>
          <w:szCs w:val="20"/>
          <w:lang w:eastAsia="es-CO"/>
        </w:rPr>
        <w:t xml:space="preserve">La entidad cuyo modelo interno presentado reciba un pronunciamiento de no objeción por parte de la SFC, a partir del mes siguiente de dicho pronunciamiento, debe aplicar su modelo interno para el cálculo de </w:t>
      </w:r>
      <w:r w:rsidR="004A5A5D">
        <w:rPr>
          <w:rFonts w:ascii="Verdana" w:hAnsi="Verdana" w:cs="Arial"/>
          <w:sz w:val="20"/>
          <w:szCs w:val="20"/>
          <w:lang w:eastAsia="es-CO"/>
        </w:rPr>
        <w:t xml:space="preserve">las </w:t>
      </w:r>
      <w:r w:rsidRPr="12B437D6">
        <w:rPr>
          <w:rFonts w:ascii="Verdana" w:hAnsi="Verdana" w:cs="Arial"/>
          <w:sz w:val="20"/>
          <w:szCs w:val="20"/>
          <w:lang w:eastAsia="es-CO"/>
        </w:rPr>
        <w:t>pérdidas esperadas y la constitución de provisiones. A solicitud de la entidad, la SFC puede autorizar un plazo no mayor de 24 meses para la constitución de las provisiones adicionales que resulten de aplicar el modelo interno, en el caso que haya lugar a ellas. Si por la aplicación del modelo interno el nivel de provisiones resulta inferior, la SFC puede establecer un plazo para su reversión.</w:t>
      </w:r>
    </w:p>
    <w:p w14:paraId="7E3E2CFB" w14:textId="707D543F" w:rsidR="002F1677" w:rsidRPr="001C6CAB" w:rsidRDefault="002F1677" w:rsidP="00720E62">
      <w:pPr>
        <w:spacing w:after="0"/>
        <w:ind w:left="708" w:hanging="708"/>
        <w:rPr>
          <w:rFonts w:ascii="Verdana" w:hAnsi="Verdana"/>
          <w:sz w:val="20"/>
          <w:szCs w:val="20"/>
        </w:rPr>
      </w:pPr>
      <w:r w:rsidRPr="001C6CAB">
        <w:rPr>
          <w:rFonts w:ascii="Verdana" w:hAnsi="Verdana"/>
          <w:sz w:val="20"/>
          <w:szCs w:val="20"/>
        </w:rPr>
        <w:t>1.1.3.</w:t>
      </w:r>
      <w:r>
        <w:rPr>
          <w:rFonts w:ascii="Verdana" w:hAnsi="Verdana"/>
          <w:sz w:val="20"/>
          <w:szCs w:val="20"/>
        </w:rPr>
        <w:t>4</w:t>
      </w:r>
      <w:r w:rsidR="00412DEF">
        <w:rPr>
          <w:rFonts w:ascii="Verdana" w:hAnsi="Verdana"/>
          <w:sz w:val="20"/>
          <w:szCs w:val="20"/>
        </w:rPr>
        <w:t>5</w:t>
      </w:r>
      <w:r w:rsidRPr="001C6CAB">
        <w:rPr>
          <w:rFonts w:ascii="Verdana" w:hAnsi="Verdana"/>
          <w:sz w:val="20"/>
          <w:szCs w:val="20"/>
        </w:rPr>
        <w:t>.</w:t>
      </w:r>
    </w:p>
    <w:p w14:paraId="7D7AE033" w14:textId="2C86FB25" w:rsidR="00ED54A0" w:rsidRDefault="002B3025" w:rsidP="12B437D6">
      <w:pPr>
        <w:jc w:val="both"/>
        <w:rPr>
          <w:rFonts w:ascii="Verdana" w:hAnsi="Verdana" w:cs="Arial"/>
          <w:sz w:val="20"/>
          <w:szCs w:val="20"/>
        </w:rPr>
      </w:pPr>
      <w:r w:rsidRPr="12B437D6">
        <w:rPr>
          <w:rFonts w:ascii="Verdana" w:hAnsi="Verdana" w:cs="Arial"/>
          <w:sz w:val="20"/>
          <w:szCs w:val="20"/>
        </w:rPr>
        <w:t xml:space="preserve">El modelo </w:t>
      </w:r>
      <w:r w:rsidR="005B1551">
        <w:rPr>
          <w:rFonts w:ascii="Verdana" w:hAnsi="Verdana" w:cs="Arial"/>
          <w:sz w:val="20"/>
          <w:szCs w:val="20"/>
        </w:rPr>
        <w:t xml:space="preserve">interno </w:t>
      </w:r>
      <w:r w:rsidRPr="12B437D6">
        <w:rPr>
          <w:rFonts w:ascii="Verdana" w:hAnsi="Verdana" w:cs="Arial"/>
          <w:sz w:val="20"/>
          <w:szCs w:val="20"/>
        </w:rPr>
        <w:t>debe ser evaluado como mínimo 2 veces al año, a más tardar en mayo y en noviembre, para establecer la idoneidad de</w:t>
      </w:r>
      <w:r w:rsidR="00FF4810">
        <w:rPr>
          <w:rFonts w:ascii="Verdana" w:hAnsi="Verdana" w:cs="Arial"/>
          <w:sz w:val="20"/>
          <w:szCs w:val="20"/>
        </w:rPr>
        <w:t xml:space="preserve">l </w:t>
      </w:r>
      <w:r w:rsidRPr="12B437D6">
        <w:rPr>
          <w:rFonts w:ascii="Verdana" w:hAnsi="Verdana" w:cs="Arial"/>
          <w:sz w:val="20"/>
          <w:szCs w:val="20"/>
        </w:rPr>
        <w:t>mismo, al igual que la relevancia de las variables seleccionadas para el modelo. Estas metodologías deben ser probadas en escenarios y condiciones extremas (pruebas de estrés) y se debe medir la suficiencia del nivel de cubrimiento de las provisiones estimadas frente a las pérdidas efectivamente observadas. Los resultados de estas evaluaciones y pruebas deben ser presentados por el representante legal principal a la JD y estar a disposición de la SFC junto con las conclusiones de su análisis.</w:t>
      </w:r>
    </w:p>
    <w:p w14:paraId="0BCC99D3" w14:textId="77777777" w:rsidR="00900DB8" w:rsidRDefault="00900DB8" w:rsidP="002A13AA">
      <w:pPr>
        <w:spacing w:after="0"/>
        <w:rPr>
          <w:rFonts w:ascii="Verdana" w:hAnsi="Verdana"/>
          <w:sz w:val="20"/>
          <w:szCs w:val="20"/>
        </w:rPr>
      </w:pPr>
    </w:p>
    <w:p w14:paraId="09466841" w14:textId="77777777" w:rsidR="00900DB8" w:rsidRDefault="00900DB8" w:rsidP="002A13AA">
      <w:pPr>
        <w:spacing w:after="0"/>
        <w:rPr>
          <w:rFonts w:ascii="Verdana" w:hAnsi="Verdana"/>
          <w:sz w:val="20"/>
          <w:szCs w:val="20"/>
        </w:rPr>
      </w:pPr>
    </w:p>
    <w:p w14:paraId="0415348B" w14:textId="4335FD62" w:rsidR="002A13AA" w:rsidRPr="001C6CAB" w:rsidRDefault="002A13AA" w:rsidP="002A13AA">
      <w:pPr>
        <w:spacing w:after="0"/>
        <w:rPr>
          <w:rFonts w:ascii="Verdana" w:hAnsi="Verdana"/>
          <w:sz w:val="20"/>
          <w:szCs w:val="20"/>
        </w:rPr>
      </w:pPr>
      <w:r w:rsidRPr="001C6CAB">
        <w:rPr>
          <w:rFonts w:ascii="Verdana" w:hAnsi="Verdana"/>
          <w:sz w:val="20"/>
          <w:szCs w:val="20"/>
        </w:rPr>
        <w:lastRenderedPageBreak/>
        <w:t>1.1.3.</w:t>
      </w:r>
      <w:r>
        <w:rPr>
          <w:rFonts w:ascii="Verdana" w:hAnsi="Verdana"/>
          <w:sz w:val="20"/>
          <w:szCs w:val="20"/>
        </w:rPr>
        <w:t>4</w:t>
      </w:r>
      <w:r w:rsidR="00412DEF">
        <w:rPr>
          <w:rFonts w:ascii="Verdana" w:hAnsi="Verdana"/>
          <w:sz w:val="20"/>
          <w:szCs w:val="20"/>
        </w:rPr>
        <w:t>6</w:t>
      </w:r>
      <w:r w:rsidRPr="001C6CAB">
        <w:rPr>
          <w:rFonts w:ascii="Verdana" w:hAnsi="Verdana"/>
          <w:sz w:val="20"/>
          <w:szCs w:val="20"/>
        </w:rPr>
        <w:t>.</w:t>
      </w:r>
    </w:p>
    <w:p w14:paraId="77C0CE40" w14:textId="3F6A3DC9" w:rsidR="00385799" w:rsidRPr="00EF37EC" w:rsidRDefault="002B3025" w:rsidP="00EF37EC">
      <w:pPr>
        <w:tabs>
          <w:tab w:val="left" w:pos="709"/>
        </w:tabs>
        <w:jc w:val="both"/>
        <w:rPr>
          <w:rFonts w:ascii="Verdana" w:hAnsi="Verdana" w:cs="Arial"/>
          <w:sz w:val="20"/>
          <w:szCs w:val="20"/>
        </w:rPr>
      </w:pPr>
      <w:r w:rsidRPr="12B437D6">
        <w:rPr>
          <w:rFonts w:ascii="Verdana" w:hAnsi="Verdana" w:cs="Arial"/>
          <w:sz w:val="20"/>
          <w:szCs w:val="20"/>
        </w:rPr>
        <w:t>En todo caso, la información que resulte de la aplicación de estos modelos debe ser almacenada como insumo para el afinamiento y retroalimentación de los mismos.</w:t>
      </w:r>
    </w:p>
    <w:p w14:paraId="71F7C61B" w14:textId="0E507BC2" w:rsidR="002B3025" w:rsidRPr="00EF37EC" w:rsidRDefault="002B3025" w:rsidP="00551D66">
      <w:pPr>
        <w:pStyle w:val="Prrafodelista"/>
        <w:numPr>
          <w:ilvl w:val="1"/>
          <w:numId w:val="40"/>
        </w:numPr>
        <w:ind w:left="851" w:hanging="284"/>
        <w:jc w:val="both"/>
        <w:rPr>
          <w:rFonts w:ascii="Verdana" w:hAnsi="Verdana" w:cs="Arial"/>
          <w:b/>
          <w:sz w:val="20"/>
          <w:szCs w:val="20"/>
        </w:rPr>
      </w:pPr>
      <w:r w:rsidRPr="00EF37EC">
        <w:rPr>
          <w:rFonts w:ascii="Verdana" w:hAnsi="Verdana" w:cs="Arial"/>
          <w:b/>
          <w:sz w:val="20"/>
          <w:szCs w:val="20"/>
        </w:rPr>
        <w:t>Inadmisión, objeción o suspensión de los modelos</w:t>
      </w:r>
    </w:p>
    <w:p w14:paraId="1C252916" w14:textId="5025A927" w:rsidR="00CA0E3D" w:rsidRPr="001C6CAB" w:rsidRDefault="00CA0E3D" w:rsidP="00CA0E3D">
      <w:pPr>
        <w:spacing w:after="0"/>
        <w:rPr>
          <w:rFonts w:ascii="Verdana" w:hAnsi="Verdana"/>
          <w:sz w:val="20"/>
          <w:szCs w:val="20"/>
        </w:rPr>
      </w:pPr>
      <w:r w:rsidRPr="001C6CAB">
        <w:rPr>
          <w:rFonts w:ascii="Verdana" w:hAnsi="Verdana"/>
          <w:sz w:val="20"/>
          <w:szCs w:val="20"/>
        </w:rPr>
        <w:t>1.1.3.</w:t>
      </w:r>
      <w:r w:rsidR="00412DEF">
        <w:rPr>
          <w:rFonts w:ascii="Verdana" w:hAnsi="Verdana"/>
          <w:sz w:val="20"/>
          <w:szCs w:val="20"/>
        </w:rPr>
        <w:t>47</w:t>
      </w:r>
      <w:r w:rsidRPr="001C6CAB">
        <w:rPr>
          <w:rFonts w:ascii="Verdana" w:hAnsi="Verdana"/>
          <w:sz w:val="20"/>
          <w:szCs w:val="20"/>
        </w:rPr>
        <w:t>.</w:t>
      </w:r>
    </w:p>
    <w:p w14:paraId="17525E5C" w14:textId="033CBCC0" w:rsidR="002B3025" w:rsidRDefault="002B3025" w:rsidP="00B929BB">
      <w:pPr>
        <w:jc w:val="both"/>
        <w:rPr>
          <w:rFonts w:ascii="Verdana" w:hAnsi="Verdana" w:cs="Arial"/>
          <w:bCs/>
          <w:sz w:val="20"/>
          <w:szCs w:val="20"/>
        </w:rPr>
      </w:pPr>
      <w:r w:rsidRPr="002B3025">
        <w:rPr>
          <w:rFonts w:ascii="Verdana" w:hAnsi="Verdana" w:cs="Arial"/>
          <w:bCs/>
          <w:sz w:val="20"/>
          <w:szCs w:val="20"/>
        </w:rPr>
        <w:t xml:space="preserve">En caso de inadmisión, objeción o suspensión, la SFC expondrá a la entidad las razones de su decisión y en el caso de suspensión la entidad debe proceder dentro del mes siguiente a la fecha de tal pronunciamiento a la constitución de las provisiones de acuerdo con lo </w:t>
      </w:r>
      <w:r w:rsidRPr="00385799">
        <w:rPr>
          <w:rFonts w:ascii="Verdana" w:hAnsi="Verdana" w:cs="Arial"/>
          <w:bCs/>
          <w:sz w:val="20"/>
          <w:szCs w:val="20"/>
        </w:rPr>
        <w:t xml:space="preserve">previsto en los modelos de referencia del </w:t>
      </w:r>
      <w:r w:rsidR="00385799" w:rsidRPr="00385799">
        <w:rPr>
          <w:rFonts w:ascii="Verdana" w:hAnsi="Verdana" w:cs="Arial"/>
          <w:bCs/>
          <w:sz w:val="20"/>
          <w:szCs w:val="20"/>
        </w:rPr>
        <w:t>anexo</w:t>
      </w:r>
      <w:r w:rsidR="00385799">
        <w:rPr>
          <w:rFonts w:ascii="Verdana" w:hAnsi="Verdana" w:cs="Arial"/>
          <w:bCs/>
          <w:sz w:val="20"/>
          <w:szCs w:val="20"/>
        </w:rPr>
        <w:t xml:space="preserve"> 1 del presente capítulo.</w:t>
      </w:r>
    </w:p>
    <w:p w14:paraId="54F47ED1" w14:textId="791D0D4A" w:rsidR="00CA0E3D" w:rsidRPr="001C6CAB" w:rsidRDefault="00CA0E3D" w:rsidP="00CA0E3D">
      <w:pPr>
        <w:spacing w:after="0"/>
        <w:rPr>
          <w:rFonts w:ascii="Verdana" w:hAnsi="Verdana"/>
          <w:sz w:val="20"/>
          <w:szCs w:val="20"/>
        </w:rPr>
      </w:pPr>
      <w:r w:rsidRPr="001C6CAB">
        <w:rPr>
          <w:rFonts w:ascii="Verdana" w:hAnsi="Verdana"/>
          <w:sz w:val="20"/>
          <w:szCs w:val="20"/>
        </w:rPr>
        <w:t>1.1.3.</w:t>
      </w:r>
      <w:r w:rsidR="00412DEF">
        <w:rPr>
          <w:rFonts w:ascii="Verdana" w:hAnsi="Verdana"/>
          <w:sz w:val="20"/>
          <w:szCs w:val="20"/>
        </w:rPr>
        <w:t>48</w:t>
      </w:r>
      <w:r w:rsidRPr="001C6CAB">
        <w:rPr>
          <w:rFonts w:ascii="Verdana" w:hAnsi="Verdana"/>
          <w:sz w:val="20"/>
          <w:szCs w:val="20"/>
        </w:rPr>
        <w:t>.</w:t>
      </w:r>
    </w:p>
    <w:p w14:paraId="23F1BB99" w14:textId="0C2ADB2A" w:rsidR="002B3025" w:rsidRPr="002B3025" w:rsidRDefault="002B3025" w:rsidP="12B437D6">
      <w:pPr>
        <w:jc w:val="both"/>
        <w:rPr>
          <w:rFonts w:ascii="Verdana" w:hAnsi="Verdana" w:cs="Arial"/>
          <w:sz w:val="20"/>
          <w:szCs w:val="20"/>
        </w:rPr>
      </w:pPr>
      <w:r w:rsidRPr="12B437D6">
        <w:rPr>
          <w:rFonts w:ascii="Verdana" w:hAnsi="Verdana" w:cs="Arial"/>
          <w:sz w:val="20"/>
          <w:szCs w:val="20"/>
        </w:rPr>
        <w:t>La entidad que desee someter los modelos nuevamente a evaluación debe presentar una nueva solicitud acompañada de una explicación clara y completa de la forma como se han subsanado las deficiencias que dieron lugar a cualquiera de los pronunciamientos anteriores</w:t>
      </w:r>
      <w:r w:rsidR="008F6788">
        <w:rPr>
          <w:rFonts w:ascii="Verdana" w:hAnsi="Verdana" w:cs="Arial"/>
          <w:sz w:val="20"/>
          <w:szCs w:val="20"/>
        </w:rPr>
        <w:t xml:space="preserve"> por parte de la SFC</w:t>
      </w:r>
      <w:r w:rsidRPr="12B437D6">
        <w:rPr>
          <w:rFonts w:ascii="Verdana" w:hAnsi="Verdana" w:cs="Arial"/>
          <w:sz w:val="20"/>
          <w:szCs w:val="20"/>
        </w:rPr>
        <w:t>. En caso de que la entidad desista del trámite debe informar a la SFC las razones de dicha decisión. Para todos los eventos anteriores, la nueva solicitud sólo puede presentarse una vez transcurrido un año contado a partir del pronunciamiento respectivo de la solicitud inicial o la fecha de desistimiento y su evaluación está subordinada al trámite previo en la SFC de los modelos presentados por otras entidades.</w:t>
      </w:r>
    </w:p>
    <w:p w14:paraId="13F405BC" w14:textId="58B18F8E" w:rsidR="0042479D" w:rsidRPr="001C6CAB" w:rsidRDefault="0042479D" w:rsidP="0042479D">
      <w:pPr>
        <w:spacing w:after="0"/>
        <w:rPr>
          <w:rFonts w:ascii="Verdana" w:hAnsi="Verdana"/>
          <w:sz w:val="20"/>
          <w:szCs w:val="20"/>
        </w:rPr>
      </w:pPr>
      <w:r w:rsidRPr="001C6CAB">
        <w:rPr>
          <w:rFonts w:ascii="Verdana" w:hAnsi="Verdana"/>
          <w:sz w:val="20"/>
          <w:szCs w:val="20"/>
        </w:rPr>
        <w:t>1.1.3.</w:t>
      </w:r>
      <w:r w:rsidR="00412DEF">
        <w:rPr>
          <w:rFonts w:ascii="Verdana" w:hAnsi="Verdana"/>
          <w:sz w:val="20"/>
          <w:szCs w:val="20"/>
        </w:rPr>
        <w:t>49</w:t>
      </w:r>
      <w:r w:rsidRPr="001C6CAB">
        <w:rPr>
          <w:rFonts w:ascii="Verdana" w:hAnsi="Verdana"/>
          <w:sz w:val="20"/>
          <w:szCs w:val="20"/>
        </w:rPr>
        <w:t>.</w:t>
      </w:r>
    </w:p>
    <w:p w14:paraId="084F793F" w14:textId="3C0EAD93" w:rsidR="002B3025" w:rsidRPr="002B3025" w:rsidRDefault="002B3025" w:rsidP="00B929BB">
      <w:pPr>
        <w:jc w:val="both"/>
        <w:rPr>
          <w:rFonts w:ascii="Verdana" w:hAnsi="Verdana" w:cs="Arial"/>
          <w:bCs/>
          <w:sz w:val="20"/>
          <w:szCs w:val="20"/>
        </w:rPr>
      </w:pPr>
      <w:r w:rsidRPr="002B3025">
        <w:rPr>
          <w:rFonts w:ascii="Verdana" w:hAnsi="Verdana" w:cs="Arial"/>
          <w:bCs/>
          <w:sz w:val="20"/>
          <w:szCs w:val="20"/>
        </w:rPr>
        <w:t xml:space="preserve">El término de un año antes indicado no aplica en el caso de </w:t>
      </w:r>
      <w:r w:rsidR="00236B0E">
        <w:rPr>
          <w:rFonts w:ascii="Verdana" w:hAnsi="Verdana" w:cs="Arial"/>
          <w:bCs/>
          <w:sz w:val="20"/>
          <w:szCs w:val="20"/>
        </w:rPr>
        <w:t xml:space="preserve">los </w:t>
      </w:r>
      <w:r w:rsidRPr="002B3025">
        <w:rPr>
          <w:rFonts w:ascii="Verdana" w:hAnsi="Verdana" w:cs="Arial"/>
          <w:bCs/>
          <w:sz w:val="20"/>
          <w:szCs w:val="20"/>
        </w:rPr>
        <w:t>modelos internos presentados y que sean inadmitidos, objetados o suspendidos por la SFC o cuando la entidad desista del trámite de aprobación antes de tal fecha.</w:t>
      </w:r>
    </w:p>
    <w:p w14:paraId="34F3D990" w14:textId="2E89FBD7" w:rsidR="002B3025" w:rsidRPr="00AF5F11" w:rsidRDefault="002B3025" w:rsidP="00551D66">
      <w:pPr>
        <w:pStyle w:val="Prrafodelista"/>
        <w:numPr>
          <w:ilvl w:val="0"/>
          <w:numId w:val="39"/>
        </w:numPr>
        <w:spacing w:after="0" w:line="240" w:lineRule="auto"/>
        <w:ind w:left="284" w:hanging="284"/>
        <w:jc w:val="both"/>
        <w:rPr>
          <w:rFonts w:ascii="Verdana" w:hAnsi="Verdana" w:cs="Arial"/>
          <w:b/>
          <w:sz w:val="20"/>
          <w:szCs w:val="20"/>
        </w:rPr>
      </w:pPr>
      <w:r w:rsidRPr="00AF5F11">
        <w:rPr>
          <w:rFonts w:ascii="Verdana" w:hAnsi="Verdana" w:cs="Arial"/>
          <w:b/>
          <w:sz w:val="20"/>
          <w:szCs w:val="20"/>
        </w:rPr>
        <w:t>Modelo determinístico de provisiones</w:t>
      </w:r>
    </w:p>
    <w:p w14:paraId="5409CBA5" w14:textId="77777777" w:rsidR="00AF5F11" w:rsidRPr="00AF5F11" w:rsidRDefault="00AF5F11" w:rsidP="00AF5F11">
      <w:pPr>
        <w:tabs>
          <w:tab w:val="right" w:pos="540"/>
        </w:tabs>
        <w:spacing w:after="0" w:line="240" w:lineRule="auto"/>
        <w:jc w:val="both"/>
        <w:rPr>
          <w:rFonts w:ascii="Verdana" w:hAnsi="Verdana" w:cs="Arial"/>
          <w:b/>
          <w:sz w:val="20"/>
          <w:szCs w:val="20"/>
        </w:rPr>
      </w:pPr>
    </w:p>
    <w:p w14:paraId="78EB987E" w14:textId="71AA93AC" w:rsidR="0042479D" w:rsidRPr="001C6CAB" w:rsidRDefault="0042479D" w:rsidP="0042479D">
      <w:pPr>
        <w:spacing w:after="0"/>
        <w:rPr>
          <w:rFonts w:ascii="Verdana" w:hAnsi="Verdana"/>
          <w:sz w:val="20"/>
          <w:szCs w:val="20"/>
        </w:rPr>
      </w:pPr>
      <w:r w:rsidRPr="001C6CAB">
        <w:rPr>
          <w:rFonts w:ascii="Verdana" w:hAnsi="Verdana"/>
          <w:sz w:val="20"/>
          <w:szCs w:val="20"/>
        </w:rPr>
        <w:t>1.1.3.</w:t>
      </w:r>
      <w:r>
        <w:rPr>
          <w:rFonts w:ascii="Verdana" w:hAnsi="Verdana"/>
          <w:sz w:val="20"/>
          <w:szCs w:val="20"/>
        </w:rPr>
        <w:t>5</w:t>
      </w:r>
      <w:r w:rsidR="00412DEF">
        <w:rPr>
          <w:rFonts w:ascii="Verdana" w:hAnsi="Verdana"/>
          <w:sz w:val="20"/>
          <w:szCs w:val="20"/>
        </w:rPr>
        <w:t>0</w:t>
      </w:r>
      <w:r w:rsidRPr="001C6CAB">
        <w:rPr>
          <w:rFonts w:ascii="Verdana" w:hAnsi="Verdana"/>
          <w:sz w:val="20"/>
          <w:szCs w:val="20"/>
        </w:rPr>
        <w:t>.</w:t>
      </w:r>
    </w:p>
    <w:p w14:paraId="16A331E7" w14:textId="292C7BDF" w:rsidR="0042479D" w:rsidRDefault="002B3025" w:rsidP="004A5CE5">
      <w:pPr>
        <w:jc w:val="both"/>
        <w:rPr>
          <w:rFonts w:ascii="Verdana" w:hAnsi="Verdana" w:cs="Arial"/>
          <w:bCs/>
          <w:sz w:val="20"/>
          <w:szCs w:val="20"/>
        </w:rPr>
      </w:pPr>
      <w:r w:rsidRPr="002B3025">
        <w:rPr>
          <w:rFonts w:ascii="Verdana" w:hAnsi="Verdana" w:cs="Arial"/>
          <w:bCs/>
          <w:sz w:val="20"/>
          <w:szCs w:val="20"/>
        </w:rPr>
        <w:t xml:space="preserve">Los modelos determinísticos de pérdida corresponden a estructuras de cálculo que miden la pérdida mediante la aplicación de porcentajes determinados por la SFC los cuales </w:t>
      </w:r>
      <w:r w:rsidRPr="00AF20EA">
        <w:rPr>
          <w:rFonts w:ascii="Verdana" w:hAnsi="Verdana" w:cs="Arial"/>
          <w:bCs/>
          <w:sz w:val="20"/>
          <w:szCs w:val="20"/>
        </w:rPr>
        <w:t xml:space="preserve">se desarrollan en el </w:t>
      </w:r>
      <w:r w:rsidR="00AF20EA" w:rsidRPr="00AF20EA">
        <w:rPr>
          <w:rFonts w:ascii="Verdana" w:hAnsi="Verdana" w:cs="Arial"/>
          <w:bCs/>
          <w:sz w:val="20"/>
          <w:szCs w:val="20"/>
        </w:rPr>
        <w:t>a</w:t>
      </w:r>
      <w:r w:rsidRPr="00AF20EA">
        <w:rPr>
          <w:rFonts w:ascii="Verdana" w:hAnsi="Verdana" w:cs="Arial"/>
          <w:bCs/>
          <w:sz w:val="20"/>
          <w:szCs w:val="20"/>
        </w:rPr>
        <w:t xml:space="preserve">nexo </w:t>
      </w:r>
      <w:r w:rsidR="00AF20EA" w:rsidRPr="00AF20EA">
        <w:rPr>
          <w:rFonts w:ascii="Verdana" w:hAnsi="Verdana" w:cs="Arial"/>
          <w:bCs/>
          <w:sz w:val="20"/>
          <w:szCs w:val="20"/>
        </w:rPr>
        <w:t>2</w:t>
      </w:r>
      <w:r w:rsidR="00AF20EA">
        <w:rPr>
          <w:rFonts w:ascii="Verdana" w:hAnsi="Verdana" w:cs="Arial"/>
          <w:bCs/>
          <w:sz w:val="20"/>
          <w:szCs w:val="20"/>
        </w:rPr>
        <w:t xml:space="preserve"> del presente capítulo.</w:t>
      </w:r>
    </w:p>
    <w:p w14:paraId="03DB16C2" w14:textId="3492753D" w:rsidR="002B3025" w:rsidRDefault="002B3025" w:rsidP="00551D66">
      <w:pPr>
        <w:pStyle w:val="Prrafodelista"/>
        <w:numPr>
          <w:ilvl w:val="0"/>
          <w:numId w:val="39"/>
        </w:numPr>
        <w:tabs>
          <w:tab w:val="right" w:pos="540"/>
        </w:tabs>
        <w:spacing w:after="0" w:line="240" w:lineRule="auto"/>
        <w:ind w:left="284" w:hanging="284"/>
        <w:jc w:val="both"/>
        <w:rPr>
          <w:rFonts w:ascii="Verdana" w:hAnsi="Verdana" w:cs="Arial"/>
          <w:b/>
          <w:sz w:val="20"/>
          <w:szCs w:val="20"/>
        </w:rPr>
      </w:pPr>
      <w:r w:rsidRPr="004A5CE5">
        <w:rPr>
          <w:rFonts w:ascii="Verdana" w:hAnsi="Verdana" w:cs="Arial"/>
          <w:b/>
          <w:sz w:val="20"/>
          <w:szCs w:val="20"/>
        </w:rPr>
        <w:t>Orden de constitución de provisiones</w:t>
      </w:r>
    </w:p>
    <w:p w14:paraId="66BE4473" w14:textId="77777777" w:rsidR="004A5CE5" w:rsidRPr="004A5CE5" w:rsidRDefault="004A5CE5" w:rsidP="004A5CE5">
      <w:pPr>
        <w:pStyle w:val="Prrafodelista"/>
        <w:tabs>
          <w:tab w:val="right" w:pos="540"/>
        </w:tabs>
        <w:spacing w:after="0" w:line="240" w:lineRule="auto"/>
        <w:ind w:left="284"/>
        <w:jc w:val="both"/>
        <w:rPr>
          <w:rFonts w:ascii="Verdana" w:hAnsi="Verdana" w:cs="Arial"/>
          <w:b/>
          <w:sz w:val="20"/>
          <w:szCs w:val="20"/>
        </w:rPr>
      </w:pPr>
    </w:p>
    <w:p w14:paraId="4BEEB67A" w14:textId="13EA6C8D" w:rsidR="0042479D" w:rsidRPr="001C6CAB" w:rsidRDefault="0042479D" w:rsidP="0042479D">
      <w:pPr>
        <w:spacing w:after="0"/>
        <w:rPr>
          <w:rFonts w:ascii="Verdana" w:hAnsi="Verdana"/>
          <w:sz w:val="20"/>
          <w:szCs w:val="20"/>
        </w:rPr>
      </w:pPr>
      <w:r w:rsidRPr="001C6CAB">
        <w:rPr>
          <w:rFonts w:ascii="Verdana" w:hAnsi="Verdana"/>
          <w:sz w:val="20"/>
          <w:szCs w:val="20"/>
        </w:rPr>
        <w:t>1.1.3.</w:t>
      </w:r>
      <w:r>
        <w:rPr>
          <w:rFonts w:ascii="Verdana" w:hAnsi="Verdana"/>
          <w:sz w:val="20"/>
          <w:szCs w:val="20"/>
        </w:rPr>
        <w:t>5</w:t>
      </w:r>
      <w:r w:rsidR="00412DEF">
        <w:rPr>
          <w:rFonts w:ascii="Verdana" w:hAnsi="Verdana"/>
          <w:sz w:val="20"/>
          <w:szCs w:val="20"/>
        </w:rPr>
        <w:t>1</w:t>
      </w:r>
      <w:r w:rsidRPr="001C6CAB">
        <w:rPr>
          <w:rFonts w:ascii="Verdana" w:hAnsi="Verdana"/>
          <w:sz w:val="20"/>
          <w:szCs w:val="20"/>
        </w:rPr>
        <w:t>.</w:t>
      </w:r>
    </w:p>
    <w:p w14:paraId="5BE144B1" w14:textId="2CDCA846" w:rsidR="002B3025" w:rsidRPr="004A5CE5" w:rsidRDefault="002B3025" w:rsidP="00B929BB">
      <w:pPr>
        <w:jc w:val="both"/>
        <w:rPr>
          <w:rFonts w:ascii="Verdana" w:hAnsi="Verdana" w:cs="Arial"/>
          <w:sz w:val="20"/>
          <w:szCs w:val="20"/>
        </w:rPr>
      </w:pPr>
      <w:r w:rsidRPr="12B437D6">
        <w:rPr>
          <w:rFonts w:ascii="Verdana" w:hAnsi="Verdana" w:cs="Arial"/>
          <w:sz w:val="20"/>
          <w:szCs w:val="20"/>
        </w:rPr>
        <w:t>La entidad cuyos modelos internos no sean objetados por la SFC debe emplearlos para el cálculo y constitución de provisiones para el respectivo portafolio</w:t>
      </w:r>
      <w:r w:rsidR="00236B0E">
        <w:rPr>
          <w:rFonts w:ascii="Verdana" w:hAnsi="Verdana" w:cs="Arial"/>
          <w:sz w:val="20"/>
          <w:szCs w:val="20"/>
        </w:rPr>
        <w:t xml:space="preserve"> de crédito</w:t>
      </w:r>
      <w:r w:rsidRPr="12B437D6">
        <w:rPr>
          <w:rFonts w:ascii="Verdana" w:hAnsi="Verdana" w:cs="Arial"/>
          <w:sz w:val="20"/>
          <w:szCs w:val="20"/>
        </w:rPr>
        <w:t xml:space="preserve">. Sin perjuicio de lo anterior, con el propósito de asegurar la confianza pública en el sistema y velar por la solidez económica de las entidades, la SFC podrá, en </w:t>
      </w:r>
      <w:r w:rsidRPr="00423B09">
        <w:rPr>
          <w:rFonts w:ascii="Verdana" w:hAnsi="Verdana" w:cs="Arial"/>
          <w:sz w:val="20"/>
          <w:szCs w:val="20"/>
        </w:rPr>
        <w:t xml:space="preserve">ejercicio de la facultad contemplada en el literal </w:t>
      </w:r>
      <w:r w:rsidR="004B695F">
        <w:rPr>
          <w:rFonts w:ascii="Verdana" w:hAnsi="Verdana" w:cs="Arial"/>
          <w:sz w:val="20"/>
          <w:szCs w:val="20"/>
        </w:rPr>
        <w:t>(l)</w:t>
      </w:r>
      <w:r w:rsidRPr="00423B09">
        <w:rPr>
          <w:rFonts w:ascii="Verdana" w:hAnsi="Verdana" w:cs="Arial"/>
          <w:sz w:val="20"/>
          <w:szCs w:val="20"/>
        </w:rPr>
        <w:t xml:space="preserve"> del numeral 2 del artículo 326 del EOSF,</w:t>
      </w:r>
      <w:r w:rsidRPr="12B437D6">
        <w:rPr>
          <w:rFonts w:ascii="Verdana" w:hAnsi="Verdana" w:cs="Arial"/>
          <w:sz w:val="20"/>
          <w:szCs w:val="20"/>
        </w:rPr>
        <w:t xml:space="preserve"> ordenar en cualquier momento y respecto de cualquier entidad, un nivel de provisiones diferente, para lo cual, entre otros criterios, se tendrá como parámetro el modelo de referencia de la SFC, así como la evaluación del adecuado funcionamiento de los elementos para la gestión del riesgo de crédito.</w:t>
      </w:r>
    </w:p>
    <w:p w14:paraId="023C1D87" w14:textId="0AE9A6B3" w:rsidR="002B3025" w:rsidRDefault="002B3025" w:rsidP="004A5CE5">
      <w:pPr>
        <w:tabs>
          <w:tab w:val="left" w:pos="0"/>
        </w:tabs>
        <w:spacing w:after="0" w:line="240" w:lineRule="auto"/>
        <w:jc w:val="both"/>
        <w:rPr>
          <w:rFonts w:ascii="Verdana" w:hAnsi="Verdana" w:cs="Arial"/>
          <w:b/>
          <w:sz w:val="20"/>
          <w:szCs w:val="20"/>
        </w:rPr>
      </w:pPr>
      <w:r w:rsidRPr="008C26D3">
        <w:rPr>
          <w:rFonts w:ascii="Verdana" w:hAnsi="Verdana" w:cs="Arial"/>
          <w:b/>
          <w:sz w:val="20"/>
          <w:szCs w:val="20"/>
        </w:rPr>
        <w:t>Reglas sobre calificación y recalificación</w:t>
      </w:r>
    </w:p>
    <w:p w14:paraId="437D9239" w14:textId="77777777" w:rsidR="004A5CE5" w:rsidRPr="004A5CE5" w:rsidRDefault="004A5CE5" w:rsidP="004A5CE5">
      <w:pPr>
        <w:tabs>
          <w:tab w:val="left" w:pos="0"/>
        </w:tabs>
        <w:spacing w:after="0" w:line="240" w:lineRule="auto"/>
        <w:jc w:val="both"/>
        <w:rPr>
          <w:rFonts w:ascii="Verdana" w:hAnsi="Verdana" w:cs="Arial"/>
          <w:b/>
          <w:sz w:val="20"/>
          <w:szCs w:val="20"/>
        </w:rPr>
      </w:pPr>
    </w:p>
    <w:p w14:paraId="38811385" w14:textId="4826ECFF" w:rsidR="008C26D3" w:rsidRPr="001C6CAB" w:rsidRDefault="008C26D3" w:rsidP="008C26D3">
      <w:pPr>
        <w:spacing w:after="0"/>
        <w:rPr>
          <w:rFonts w:ascii="Verdana" w:hAnsi="Verdana"/>
          <w:sz w:val="20"/>
          <w:szCs w:val="20"/>
        </w:rPr>
      </w:pPr>
      <w:r w:rsidRPr="001C6CAB">
        <w:rPr>
          <w:rFonts w:ascii="Verdana" w:hAnsi="Verdana"/>
          <w:sz w:val="20"/>
          <w:szCs w:val="20"/>
        </w:rPr>
        <w:t>1.1.3.</w:t>
      </w:r>
      <w:r>
        <w:rPr>
          <w:rFonts w:ascii="Verdana" w:hAnsi="Verdana"/>
          <w:sz w:val="20"/>
          <w:szCs w:val="20"/>
        </w:rPr>
        <w:t>5</w:t>
      </w:r>
      <w:r w:rsidR="00412DEF">
        <w:rPr>
          <w:rFonts w:ascii="Verdana" w:hAnsi="Verdana"/>
          <w:sz w:val="20"/>
          <w:szCs w:val="20"/>
        </w:rPr>
        <w:t>2</w:t>
      </w:r>
      <w:r w:rsidRPr="001C6CAB">
        <w:rPr>
          <w:rFonts w:ascii="Verdana" w:hAnsi="Verdana"/>
          <w:sz w:val="20"/>
          <w:szCs w:val="20"/>
        </w:rPr>
        <w:t>.</w:t>
      </w:r>
    </w:p>
    <w:p w14:paraId="1D5D8E22" w14:textId="2D4699C5" w:rsidR="002B3025" w:rsidRPr="004A5CE5" w:rsidRDefault="002B3025" w:rsidP="00B929BB">
      <w:pPr>
        <w:jc w:val="both"/>
        <w:rPr>
          <w:rFonts w:ascii="Verdana" w:hAnsi="Verdana" w:cs="Arial"/>
          <w:sz w:val="20"/>
          <w:szCs w:val="20"/>
        </w:rPr>
      </w:pPr>
      <w:r w:rsidRPr="12B437D6">
        <w:rPr>
          <w:rFonts w:ascii="Verdana" w:hAnsi="Verdana" w:cs="Arial"/>
          <w:sz w:val="20"/>
          <w:szCs w:val="20"/>
        </w:rPr>
        <w:t xml:space="preserve">La asignación y ajuste de la calificación de los deudores debe responder al análisis de riesgo en virtud de </w:t>
      </w:r>
      <w:r w:rsidRPr="00DE4C96">
        <w:rPr>
          <w:rFonts w:ascii="Verdana" w:hAnsi="Verdana" w:cs="Arial"/>
          <w:sz w:val="20"/>
          <w:szCs w:val="20"/>
        </w:rPr>
        <w:t>lo establecido en el</w:t>
      </w:r>
      <w:r w:rsidR="00CA3CF0">
        <w:rPr>
          <w:rFonts w:ascii="Verdana" w:hAnsi="Verdana" w:cs="Arial"/>
          <w:sz w:val="20"/>
          <w:szCs w:val="20"/>
        </w:rPr>
        <w:t xml:space="preserve"> párrafo 1.1.2.</w:t>
      </w:r>
      <w:r w:rsidR="00DE4C96">
        <w:rPr>
          <w:rFonts w:ascii="Verdana" w:hAnsi="Verdana" w:cs="Arial"/>
          <w:sz w:val="20"/>
          <w:szCs w:val="20"/>
        </w:rPr>
        <w:t xml:space="preserve">29. </w:t>
      </w:r>
      <w:r w:rsidRPr="12B437D6">
        <w:rPr>
          <w:rFonts w:ascii="Verdana" w:hAnsi="Verdana" w:cs="Arial"/>
          <w:sz w:val="20"/>
          <w:szCs w:val="20"/>
        </w:rPr>
        <w:t>así como al análisis de variables complementarias, tales como: (i) si el deudor ha tenido créditos reestructurados y las características de estas reestructuraciones</w:t>
      </w:r>
      <w:r w:rsidR="006F3A7A">
        <w:rPr>
          <w:rFonts w:ascii="Verdana" w:hAnsi="Verdana" w:cs="Arial"/>
          <w:sz w:val="20"/>
          <w:szCs w:val="20"/>
        </w:rPr>
        <w:t>;</w:t>
      </w:r>
      <w:r w:rsidRPr="12B437D6">
        <w:rPr>
          <w:rFonts w:ascii="Verdana" w:hAnsi="Verdana" w:cs="Arial"/>
          <w:sz w:val="20"/>
          <w:szCs w:val="20"/>
        </w:rPr>
        <w:t xml:space="preserve"> y (ii</w:t>
      </w:r>
      <w:r w:rsidR="00EC6F27" w:rsidRPr="12B437D6">
        <w:rPr>
          <w:rFonts w:ascii="Verdana" w:hAnsi="Verdana" w:cs="Arial"/>
          <w:sz w:val="20"/>
          <w:szCs w:val="20"/>
        </w:rPr>
        <w:t>) si</w:t>
      </w:r>
      <w:r w:rsidRPr="12B437D6">
        <w:rPr>
          <w:rFonts w:ascii="Verdana" w:hAnsi="Verdana" w:cs="Arial"/>
          <w:sz w:val="20"/>
          <w:szCs w:val="20"/>
        </w:rPr>
        <w:t xml:space="preserve"> el deudor registra obligaciones castigadas y las características de estos castigos, </w:t>
      </w:r>
      <w:r w:rsidR="008E4FFB">
        <w:rPr>
          <w:rFonts w:ascii="Verdana" w:hAnsi="Verdana" w:cs="Arial"/>
          <w:sz w:val="20"/>
          <w:szCs w:val="20"/>
        </w:rPr>
        <w:t>incluyendo</w:t>
      </w:r>
      <w:r w:rsidRPr="12B437D6">
        <w:rPr>
          <w:rFonts w:ascii="Verdana" w:hAnsi="Verdana" w:cs="Arial"/>
          <w:sz w:val="20"/>
          <w:szCs w:val="20"/>
        </w:rPr>
        <w:t xml:space="preserve">: </w:t>
      </w:r>
      <w:r w:rsidR="001F7028">
        <w:rPr>
          <w:rFonts w:ascii="Verdana" w:hAnsi="Verdana" w:cs="Arial"/>
          <w:sz w:val="20"/>
          <w:szCs w:val="20"/>
        </w:rPr>
        <w:t>(</w:t>
      </w:r>
      <w:r w:rsidR="008E4FFB">
        <w:rPr>
          <w:rFonts w:ascii="Verdana" w:hAnsi="Verdana" w:cs="Arial"/>
          <w:sz w:val="20"/>
          <w:szCs w:val="20"/>
        </w:rPr>
        <w:t>A</w:t>
      </w:r>
      <w:r w:rsidRPr="12B437D6">
        <w:rPr>
          <w:rFonts w:ascii="Verdana" w:hAnsi="Verdana" w:cs="Arial"/>
          <w:sz w:val="20"/>
          <w:szCs w:val="20"/>
        </w:rPr>
        <w:t>) el monto, (</w:t>
      </w:r>
      <w:r w:rsidR="008E4FFB">
        <w:rPr>
          <w:rFonts w:ascii="Verdana" w:hAnsi="Verdana" w:cs="Arial"/>
          <w:sz w:val="20"/>
          <w:szCs w:val="20"/>
        </w:rPr>
        <w:t>B</w:t>
      </w:r>
      <w:r w:rsidRPr="12B437D6">
        <w:rPr>
          <w:rFonts w:ascii="Verdana" w:hAnsi="Verdana" w:cs="Arial"/>
          <w:sz w:val="20"/>
          <w:szCs w:val="20"/>
        </w:rPr>
        <w:t>) si la obligación fue recuperada total o parcialmente y (</w:t>
      </w:r>
      <w:r w:rsidR="008E4FFB">
        <w:rPr>
          <w:rFonts w:ascii="Verdana" w:hAnsi="Verdana" w:cs="Arial"/>
          <w:sz w:val="20"/>
          <w:szCs w:val="20"/>
        </w:rPr>
        <w:t>C</w:t>
      </w:r>
      <w:r w:rsidRPr="12B437D6">
        <w:rPr>
          <w:rFonts w:ascii="Verdana" w:hAnsi="Verdana" w:cs="Arial"/>
          <w:sz w:val="20"/>
          <w:szCs w:val="20"/>
        </w:rPr>
        <w:t>) la antigüedad del castigo, entendida como el tiempo transcurrido entre la fecha del castigo y la evaluación.</w:t>
      </w:r>
    </w:p>
    <w:p w14:paraId="29DB937D" w14:textId="06B46889" w:rsidR="002B3025" w:rsidRPr="004A5CE5" w:rsidRDefault="002B3025" w:rsidP="00551D66">
      <w:pPr>
        <w:pStyle w:val="Prrafodelista"/>
        <w:numPr>
          <w:ilvl w:val="0"/>
          <w:numId w:val="39"/>
        </w:numPr>
        <w:tabs>
          <w:tab w:val="right" w:pos="540"/>
        </w:tabs>
        <w:spacing w:after="0" w:line="240" w:lineRule="auto"/>
        <w:ind w:left="284" w:hanging="284"/>
        <w:jc w:val="both"/>
        <w:rPr>
          <w:rFonts w:ascii="Verdana" w:hAnsi="Verdana" w:cs="Arial"/>
          <w:b/>
          <w:sz w:val="20"/>
          <w:szCs w:val="20"/>
        </w:rPr>
      </w:pPr>
      <w:r w:rsidRPr="004A5CE5">
        <w:rPr>
          <w:rFonts w:ascii="Verdana" w:hAnsi="Verdana" w:cs="Arial"/>
          <w:b/>
          <w:sz w:val="20"/>
          <w:szCs w:val="20"/>
        </w:rPr>
        <w:t>Homologación de las calificaciones de riesgo</w:t>
      </w:r>
    </w:p>
    <w:p w14:paraId="7163D90A" w14:textId="77777777" w:rsidR="004A5CE5" w:rsidRPr="004A5CE5" w:rsidRDefault="004A5CE5" w:rsidP="004A5CE5">
      <w:pPr>
        <w:tabs>
          <w:tab w:val="right" w:pos="540"/>
        </w:tabs>
        <w:spacing w:after="0" w:line="240" w:lineRule="auto"/>
        <w:jc w:val="both"/>
        <w:rPr>
          <w:rFonts w:ascii="Verdana" w:hAnsi="Verdana" w:cs="Arial"/>
          <w:b/>
          <w:sz w:val="20"/>
          <w:szCs w:val="20"/>
        </w:rPr>
      </w:pPr>
    </w:p>
    <w:p w14:paraId="37645D02" w14:textId="07E59559" w:rsidR="008C26D3" w:rsidRPr="001C6CAB" w:rsidRDefault="008C26D3" w:rsidP="008C26D3">
      <w:pPr>
        <w:spacing w:after="0"/>
        <w:rPr>
          <w:rFonts w:ascii="Verdana" w:hAnsi="Verdana"/>
          <w:sz w:val="20"/>
          <w:szCs w:val="20"/>
        </w:rPr>
      </w:pPr>
      <w:r w:rsidRPr="001C6CAB">
        <w:rPr>
          <w:rFonts w:ascii="Verdana" w:hAnsi="Verdana"/>
          <w:sz w:val="20"/>
          <w:szCs w:val="20"/>
        </w:rPr>
        <w:t>1.1.3.</w:t>
      </w:r>
      <w:r>
        <w:rPr>
          <w:rFonts w:ascii="Verdana" w:hAnsi="Verdana"/>
          <w:sz w:val="20"/>
          <w:szCs w:val="20"/>
        </w:rPr>
        <w:t>5</w:t>
      </w:r>
      <w:r w:rsidR="00412DEF">
        <w:rPr>
          <w:rFonts w:ascii="Verdana" w:hAnsi="Verdana"/>
          <w:sz w:val="20"/>
          <w:szCs w:val="20"/>
        </w:rPr>
        <w:t>3</w:t>
      </w:r>
      <w:r w:rsidRPr="001C6CAB">
        <w:rPr>
          <w:rFonts w:ascii="Verdana" w:hAnsi="Verdana"/>
          <w:sz w:val="20"/>
          <w:szCs w:val="20"/>
        </w:rPr>
        <w:t>.</w:t>
      </w:r>
    </w:p>
    <w:p w14:paraId="67B5DF1A" w14:textId="1B1BF366" w:rsidR="002B3025" w:rsidRPr="002B3025" w:rsidRDefault="002B3025" w:rsidP="00B929BB">
      <w:pPr>
        <w:jc w:val="both"/>
        <w:rPr>
          <w:rFonts w:ascii="Verdana" w:hAnsi="Verdana" w:cs="Arial"/>
          <w:bCs/>
          <w:sz w:val="20"/>
          <w:szCs w:val="20"/>
        </w:rPr>
      </w:pPr>
      <w:r w:rsidRPr="002B3025">
        <w:rPr>
          <w:rFonts w:ascii="Verdana" w:hAnsi="Verdana" w:cs="Arial"/>
          <w:bCs/>
          <w:sz w:val="20"/>
          <w:szCs w:val="20"/>
        </w:rPr>
        <w:t xml:space="preserve">Con el fin de contar con una única calificación para propósitos de los reportes a los operadores de información, los reportes de endeudamiento de crédito y el registro en </w:t>
      </w:r>
      <w:r w:rsidRPr="002B3025">
        <w:rPr>
          <w:rFonts w:ascii="Verdana" w:hAnsi="Verdana" w:cs="Arial"/>
          <w:bCs/>
          <w:sz w:val="20"/>
          <w:szCs w:val="20"/>
        </w:rPr>
        <w:lastRenderedPageBreak/>
        <w:t>los estados financieros, la entidad debe homologar las calificaciones que resulten de la implementación de los m</w:t>
      </w:r>
      <w:r w:rsidRPr="0009137C">
        <w:rPr>
          <w:rFonts w:ascii="Verdana" w:hAnsi="Verdana" w:cs="Arial"/>
          <w:bCs/>
          <w:sz w:val="20"/>
          <w:szCs w:val="20"/>
        </w:rPr>
        <w:t>odelos relacionados en</w:t>
      </w:r>
      <w:r w:rsidR="000715FD">
        <w:rPr>
          <w:rFonts w:ascii="Verdana" w:hAnsi="Verdana" w:cs="Arial"/>
          <w:bCs/>
          <w:sz w:val="20"/>
          <w:szCs w:val="20"/>
        </w:rPr>
        <w:t>tre los párrafos 1.1.3.27. y 1.1.3.49.</w:t>
      </w:r>
      <w:r w:rsidRPr="0009137C">
        <w:rPr>
          <w:rFonts w:ascii="Verdana" w:hAnsi="Verdana" w:cs="Arial"/>
          <w:bCs/>
          <w:sz w:val="20"/>
          <w:szCs w:val="20"/>
        </w:rPr>
        <w:t>, de acuerdo con las siguientes instrucciones:</w:t>
      </w:r>
    </w:p>
    <w:p w14:paraId="5F910A37" w14:textId="30D21AFF" w:rsidR="00557DAC" w:rsidRPr="001C6CAB" w:rsidRDefault="00557DAC" w:rsidP="00557DAC">
      <w:pPr>
        <w:spacing w:after="0"/>
        <w:rPr>
          <w:rFonts w:ascii="Verdana" w:hAnsi="Verdana"/>
          <w:sz w:val="20"/>
          <w:szCs w:val="20"/>
        </w:rPr>
      </w:pPr>
      <w:r w:rsidRPr="001C6CAB">
        <w:rPr>
          <w:rFonts w:ascii="Verdana" w:hAnsi="Verdana"/>
          <w:sz w:val="20"/>
          <w:szCs w:val="20"/>
        </w:rPr>
        <w:t>1.1.3.</w:t>
      </w:r>
      <w:r>
        <w:rPr>
          <w:rFonts w:ascii="Verdana" w:hAnsi="Verdana"/>
          <w:sz w:val="20"/>
          <w:szCs w:val="20"/>
        </w:rPr>
        <w:t>5</w:t>
      </w:r>
      <w:r w:rsidR="00412DEF">
        <w:rPr>
          <w:rFonts w:ascii="Verdana" w:hAnsi="Verdana"/>
          <w:sz w:val="20"/>
          <w:szCs w:val="20"/>
        </w:rPr>
        <w:t>4</w:t>
      </w:r>
      <w:r w:rsidRPr="001C6CAB">
        <w:rPr>
          <w:rFonts w:ascii="Verdana" w:hAnsi="Verdana"/>
          <w:sz w:val="20"/>
          <w:szCs w:val="20"/>
        </w:rPr>
        <w:t>.</w:t>
      </w:r>
    </w:p>
    <w:p w14:paraId="3631E8BA" w14:textId="4F8CD39D" w:rsidR="002B3025" w:rsidRDefault="002B3025" w:rsidP="00144B9A">
      <w:pPr>
        <w:spacing w:after="0" w:line="240" w:lineRule="auto"/>
        <w:jc w:val="both"/>
        <w:rPr>
          <w:rFonts w:ascii="Verdana" w:hAnsi="Verdana" w:cs="Arial"/>
          <w:sz w:val="20"/>
          <w:szCs w:val="20"/>
        </w:rPr>
      </w:pPr>
      <w:r w:rsidRPr="12B437D6">
        <w:rPr>
          <w:rFonts w:ascii="Verdana" w:hAnsi="Verdana" w:cs="Arial"/>
          <w:sz w:val="20"/>
          <w:szCs w:val="20"/>
        </w:rPr>
        <w:t xml:space="preserve">Homologación de las probabilidades de incumplimiento de los modelos internos no objetados a los </w:t>
      </w:r>
      <w:r w:rsidRPr="00B02FF5">
        <w:rPr>
          <w:rFonts w:ascii="Verdana" w:hAnsi="Verdana" w:cs="Arial"/>
          <w:sz w:val="20"/>
          <w:szCs w:val="20"/>
        </w:rPr>
        <w:t xml:space="preserve">que </w:t>
      </w:r>
      <w:r w:rsidR="00B02FF5" w:rsidRPr="00B02FF5">
        <w:rPr>
          <w:rFonts w:ascii="Verdana" w:hAnsi="Verdana" w:cs="Arial"/>
          <w:sz w:val="20"/>
          <w:szCs w:val="20"/>
        </w:rPr>
        <w:t xml:space="preserve">se </w:t>
      </w:r>
      <w:r w:rsidRPr="00B02FF5">
        <w:rPr>
          <w:rFonts w:ascii="Verdana" w:hAnsi="Verdana" w:cs="Arial"/>
          <w:sz w:val="20"/>
          <w:szCs w:val="20"/>
        </w:rPr>
        <w:t xml:space="preserve">hace referencia </w:t>
      </w:r>
      <w:r w:rsidR="00B02FF5" w:rsidRPr="00B02FF5">
        <w:rPr>
          <w:rFonts w:ascii="Verdana" w:hAnsi="Verdana" w:cs="Arial"/>
          <w:sz w:val="20"/>
          <w:szCs w:val="20"/>
        </w:rPr>
        <w:t>entre los párrafos 1.1.3.36. y 1.1.3.49.</w:t>
      </w:r>
    </w:p>
    <w:p w14:paraId="39FD9707" w14:textId="77777777" w:rsidR="00144B9A" w:rsidRPr="00144B9A" w:rsidRDefault="00144B9A" w:rsidP="00144B9A">
      <w:pPr>
        <w:spacing w:after="0" w:line="240" w:lineRule="auto"/>
        <w:jc w:val="both"/>
        <w:rPr>
          <w:rFonts w:ascii="Verdana" w:hAnsi="Verdana" w:cs="Arial"/>
          <w:sz w:val="20"/>
          <w:szCs w:val="20"/>
        </w:rPr>
      </w:pPr>
    </w:p>
    <w:tbl>
      <w:tblPr>
        <w:tblStyle w:val="Tablaconcuadrcula"/>
        <w:tblW w:w="0" w:type="auto"/>
        <w:jc w:val="center"/>
        <w:tblLook w:val="04A0" w:firstRow="1" w:lastRow="0" w:firstColumn="1" w:lastColumn="0" w:noHBand="0" w:noVBand="1"/>
      </w:tblPr>
      <w:tblGrid>
        <w:gridCol w:w="1675"/>
        <w:gridCol w:w="1864"/>
        <w:gridCol w:w="1843"/>
        <w:gridCol w:w="1701"/>
        <w:gridCol w:w="1701"/>
      </w:tblGrid>
      <w:tr w:rsidR="002B3025" w:rsidRPr="002B3025" w14:paraId="193BB7C6" w14:textId="77777777" w:rsidTr="00AF49EE">
        <w:trPr>
          <w:trHeight w:val="250"/>
          <w:tblHeader/>
          <w:jc w:val="center"/>
        </w:trPr>
        <w:tc>
          <w:tcPr>
            <w:tcW w:w="8784" w:type="dxa"/>
            <w:gridSpan w:val="5"/>
            <w:shd w:val="clear" w:color="auto" w:fill="D1D1D1" w:themeFill="background2" w:themeFillShade="E6"/>
          </w:tcPr>
          <w:p w14:paraId="33BA0695" w14:textId="77777777" w:rsidR="002B3025" w:rsidRPr="00144B9A" w:rsidRDefault="002B3025" w:rsidP="00B929BB">
            <w:pPr>
              <w:jc w:val="center"/>
              <w:rPr>
                <w:rFonts w:ascii="Verdana" w:hAnsi="Verdana" w:cs="Arial"/>
                <w:b/>
                <w:sz w:val="16"/>
                <w:szCs w:val="16"/>
              </w:rPr>
            </w:pPr>
            <w:r w:rsidRPr="00144B9A">
              <w:rPr>
                <w:rFonts w:ascii="Verdana" w:hAnsi="Verdana" w:cs="Arial"/>
                <w:b/>
                <w:sz w:val="16"/>
                <w:szCs w:val="16"/>
              </w:rPr>
              <w:t>Categorías de riesgo por probabilidad de incumplimiento</w:t>
            </w:r>
          </w:p>
          <w:p w14:paraId="029B41E6" w14:textId="77777777" w:rsidR="002B3025" w:rsidRPr="00144B9A" w:rsidRDefault="002B3025" w:rsidP="00B929BB">
            <w:pPr>
              <w:jc w:val="center"/>
              <w:rPr>
                <w:rFonts w:ascii="Verdana" w:hAnsi="Verdana" w:cs="Arial"/>
                <w:b/>
                <w:color w:val="999999"/>
                <w:sz w:val="16"/>
                <w:szCs w:val="16"/>
              </w:rPr>
            </w:pPr>
            <w:r w:rsidRPr="00144B9A">
              <w:rPr>
                <w:rFonts w:ascii="Verdana" w:hAnsi="Verdana" w:cs="Arial"/>
                <w:b/>
                <w:sz w:val="16"/>
                <w:szCs w:val="16"/>
              </w:rPr>
              <w:t>(en términos porcentuales)</w:t>
            </w:r>
          </w:p>
        </w:tc>
      </w:tr>
      <w:tr w:rsidR="002E3760" w:rsidRPr="002B3025" w14:paraId="1FA655AA" w14:textId="77777777" w:rsidTr="00AF49EE">
        <w:trPr>
          <w:trHeight w:val="250"/>
          <w:tblHeader/>
          <w:jc w:val="center"/>
        </w:trPr>
        <w:tc>
          <w:tcPr>
            <w:tcW w:w="1675" w:type="dxa"/>
            <w:shd w:val="clear" w:color="auto" w:fill="D1D1D1" w:themeFill="background2" w:themeFillShade="E6"/>
          </w:tcPr>
          <w:p w14:paraId="2305E8A5" w14:textId="77777777" w:rsidR="002B3025" w:rsidRPr="00144B9A" w:rsidRDefault="002B3025" w:rsidP="00B929BB">
            <w:pPr>
              <w:jc w:val="center"/>
              <w:rPr>
                <w:rFonts w:ascii="Verdana" w:hAnsi="Verdana" w:cs="Arial"/>
                <w:b/>
                <w:color w:val="999999"/>
                <w:sz w:val="16"/>
                <w:szCs w:val="16"/>
              </w:rPr>
            </w:pPr>
            <w:r w:rsidRPr="00144B9A">
              <w:rPr>
                <w:rFonts w:ascii="Verdana" w:hAnsi="Verdana" w:cs="Arial"/>
                <w:b/>
                <w:sz w:val="16"/>
                <w:szCs w:val="16"/>
              </w:rPr>
              <w:t>Calificación</w:t>
            </w:r>
          </w:p>
        </w:tc>
        <w:tc>
          <w:tcPr>
            <w:tcW w:w="1864" w:type="dxa"/>
            <w:shd w:val="clear" w:color="auto" w:fill="D1D1D1" w:themeFill="background2" w:themeFillShade="E6"/>
            <w:vAlign w:val="bottom"/>
          </w:tcPr>
          <w:p w14:paraId="34BAD7E3" w14:textId="77777777" w:rsidR="002B3025" w:rsidRPr="00144B9A" w:rsidRDefault="002B3025" w:rsidP="00B929BB">
            <w:pPr>
              <w:jc w:val="center"/>
              <w:rPr>
                <w:rFonts w:ascii="Verdana" w:hAnsi="Verdana" w:cs="Arial"/>
                <w:b/>
                <w:sz w:val="16"/>
                <w:szCs w:val="16"/>
              </w:rPr>
            </w:pPr>
            <w:r w:rsidRPr="00144B9A">
              <w:rPr>
                <w:rFonts w:ascii="Verdana" w:hAnsi="Verdana" w:cs="Arial"/>
                <w:b/>
                <w:sz w:val="16"/>
                <w:szCs w:val="16"/>
              </w:rPr>
              <w:t>Comercial</w:t>
            </w:r>
          </w:p>
        </w:tc>
        <w:tc>
          <w:tcPr>
            <w:tcW w:w="1843" w:type="dxa"/>
            <w:shd w:val="clear" w:color="auto" w:fill="D1D1D1" w:themeFill="background2" w:themeFillShade="E6"/>
            <w:vAlign w:val="bottom"/>
          </w:tcPr>
          <w:p w14:paraId="7EF8E00D" w14:textId="77777777" w:rsidR="002B3025" w:rsidRPr="00144B9A" w:rsidRDefault="002B3025" w:rsidP="00B929BB">
            <w:pPr>
              <w:jc w:val="center"/>
              <w:rPr>
                <w:rFonts w:ascii="Verdana" w:hAnsi="Verdana" w:cs="Arial"/>
                <w:b/>
                <w:sz w:val="16"/>
                <w:szCs w:val="16"/>
              </w:rPr>
            </w:pPr>
            <w:r w:rsidRPr="00144B9A">
              <w:rPr>
                <w:rFonts w:ascii="Verdana" w:hAnsi="Verdana" w:cs="Arial"/>
                <w:b/>
                <w:sz w:val="16"/>
                <w:szCs w:val="16"/>
              </w:rPr>
              <w:t>Consumo</w:t>
            </w:r>
          </w:p>
        </w:tc>
        <w:tc>
          <w:tcPr>
            <w:tcW w:w="1701" w:type="dxa"/>
            <w:shd w:val="clear" w:color="auto" w:fill="D1D1D1" w:themeFill="background2" w:themeFillShade="E6"/>
            <w:vAlign w:val="bottom"/>
          </w:tcPr>
          <w:p w14:paraId="2CB84298" w14:textId="77777777" w:rsidR="002B3025" w:rsidRPr="00144B9A" w:rsidRDefault="002B3025" w:rsidP="00B929BB">
            <w:pPr>
              <w:jc w:val="center"/>
              <w:rPr>
                <w:rFonts w:ascii="Verdana" w:hAnsi="Verdana" w:cs="Arial"/>
                <w:b/>
                <w:sz w:val="16"/>
                <w:szCs w:val="16"/>
              </w:rPr>
            </w:pPr>
            <w:r w:rsidRPr="00144B9A">
              <w:rPr>
                <w:rFonts w:ascii="Verdana" w:hAnsi="Verdana" w:cs="Arial"/>
                <w:b/>
                <w:sz w:val="16"/>
                <w:szCs w:val="16"/>
              </w:rPr>
              <w:t>Vivienda</w:t>
            </w:r>
          </w:p>
        </w:tc>
        <w:tc>
          <w:tcPr>
            <w:tcW w:w="1701" w:type="dxa"/>
            <w:shd w:val="clear" w:color="auto" w:fill="D1D1D1" w:themeFill="background2" w:themeFillShade="E6"/>
            <w:vAlign w:val="bottom"/>
          </w:tcPr>
          <w:p w14:paraId="33DF7C0A" w14:textId="77777777" w:rsidR="002B3025" w:rsidRPr="00144B9A" w:rsidRDefault="002B3025" w:rsidP="00B929BB">
            <w:pPr>
              <w:jc w:val="center"/>
              <w:rPr>
                <w:rFonts w:ascii="Verdana" w:hAnsi="Verdana" w:cs="Arial"/>
                <w:b/>
                <w:sz w:val="16"/>
                <w:szCs w:val="16"/>
              </w:rPr>
            </w:pPr>
            <w:r w:rsidRPr="00144B9A">
              <w:rPr>
                <w:rFonts w:ascii="Verdana" w:hAnsi="Verdana" w:cs="Arial"/>
                <w:b/>
                <w:sz w:val="16"/>
                <w:szCs w:val="16"/>
              </w:rPr>
              <w:t>Microcrédito</w:t>
            </w:r>
          </w:p>
        </w:tc>
      </w:tr>
      <w:tr w:rsidR="002E3760" w:rsidRPr="002B3025" w14:paraId="2747E079" w14:textId="77777777" w:rsidTr="00B02FF5">
        <w:trPr>
          <w:trHeight w:val="250"/>
          <w:jc w:val="center"/>
        </w:trPr>
        <w:tc>
          <w:tcPr>
            <w:tcW w:w="1675" w:type="dxa"/>
            <w:vAlign w:val="bottom"/>
          </w:tcPr>
          <w:p w14:paraId="4B311FEB" w14:textId="77777777" w:rsidR="002B3025" w:rsidRPr="00144B9A" w:rsidRDefault="002B3025" w:rsidP="00B929BB">
            <w:pPr>
              <w:jc w:val="both"/>
              <w:rPr>
                <w:rFonts w:ascii="Verdana" w:hAnsi="Verdana" w:cs="Arial"/>
                <w:bCs/>
                <w:color w:val="000000"/>
                <w:sz w:val="16"/>
                <w:szCs w:val="16"/>
              </w:rPr>
            </w:pPr>
            <w:r w:rsidRPr="00144B9A">
              <w:rPr>
                <w:rFonts w:ascii="Verdana" w:hAnsi="Verdana" w:cs="Arial"/>
                <w:bCs/>
                <w:color w:val="000000"/>
                <w:sz w:val="16"/>
                <w:szCs w:val="16"/>
              </w:rPr>
              <w:t>AA</w:t>
            </w:r>
          </w:p>
        </w:tc>
        <w:tc>
          <w:tcPr>
            <w:tcW w:w="1864" w:type="dxa"/>
            <w:vAlign w:val="bottom"/>
          </w:tcPr>
          <w:p w14:paraId="36A246F3" w14:textId="77777777"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0-3.11</w:t>
            </w:r>
          </w:p>
        </w:tc>
        <w:tc>
          <w:tcPr>
            <w:tcW w:w="1843" w:type="dxa"/>
            <w:vAlign w:val="bottom"/>
          </w:tcPr>
          <w:p w14:paraId="0A88A42F" w14:textId="77777777"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0-3</w:t>
            </w:r>
          </w:p>
        </w:tc>
        <w:tc>
          <w:tcPr>
            <w:tcW w:w="1701" w:type="dxa"/>
            <w:vAlign w:val="bottom"/>
          </w:tcPr>
          <w:p w14:paraId="370F52A0" w14:textId="77777777"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0-2</w:t>
            </w:r>
          </w:p>
        </w:tc>
        <w:tc>
          <w:tcPr>
            <w:tcW w:w="1701" w:type="dxa"/>
            <w:vAlign w:val="bottom"/>
          </w:tcPr>
          <w:p w14:paraId="61E19CC3" w14:textId="77777777"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0-3</w:t>
            </w:r>
          </w:p>
        </w:tc>
      </w:tr>
      <w:tr w:rsidR="002E3760" w:rsidRPr="002B3025" w14:paraId="5AB68CE6" w14:textId="77777777" w:rsidTr="00B02FF5">
        <w:trPr>
          <w:trHeight w:val="250"/>
          <w:jc w:val="center"/>
        </w:trPr>
        <w:tc>
          <w:tcPr>
            <w:tcW w:w="1675" w:type="dxa"/>
            <w:vAlign w:val="bottom"/>
          </w:tcPr>
          <w:p w14:paraId="0B7B508F" w14:textId="77777777"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A</w:t>
            </w:r>
          </w:p>
        </w:tc>
        <w:tc>
          <w:tcPr>
            <w:tcW w:w="1864" w:type="dxa"/>
            <w:vAlign w:val="bottom"/>
          </w:tcPr>
          <w:p w14:paraId="14CE462F" w14:textId="77777777"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&gt; 3.11-6.54</w:t>
            </w:r>
          </w:p>
        </w:tc>
        <w:tc>
          <w:tcPr>
            <w:tcW w:w="1843" w:type="dxa"/>
            <w:vAlign w:val="bottom"/>
          </w:tcPr>
          <w:p w14:paraId="48673072" w14:textId="77777777"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&gt; 3-5</w:t>
            </w:r>
          </w:p>
        </w:tc>
        <w:tc>
          <w:tcPr>
            <w:tcW w:w="1701" w:type="dxa"/>
            <w:vAlign w:val="bottom"/>
          </w:tcPr>
          <w:p w14:paraId="39BA682C" w14:textId="77777777"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&gt; 2-9</w:t>
            </w:r>
          </w:p>
        </w:tc>
        <w:tc>
          <w:tcPr>
            <w:tcW w:w="1701" w:type="dxa"/>
            <w:vAlign w:val="bottom"/>
          </w:tcPr>
          <w:p w14:paraId="3F3B22E5" w14:textId="77777777"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&gt; 3-5</w:t>
            </w:r>
          </w:p>
        </w:tc>
      </w:tr>
      <w:tr w:rsidR="002E3760" w:rsidRPr="002B3025" w14:paraId="3AADC023" w14:textId="77777777" w:rsidTr="00B02FF5">
        <w:trPr>
          <w:trHeight w:val="265"/>
          <w:jc w:val="center"/>
        </w:trPr>
        <w:tc>
          <w:tcPr>
            <w:tcW w:w="1675" w:type="dxa"/>
            <w:vAlign w:val="bottom"/>
          </w:tcPr>
          <w:p w14:paraId="28482800" w14:textId="77777777" w:rsidR="002B3025" w:rsidRPr="00144B9A" w:rsidRDefault="002B3025" w:rsidP="00B929BB">
            <w:pPr>
              <w:jc w:val="both"/>
              <w:rPr>
                <w:rFonts w:ascii="Verdana" w:hAnsi="Verdana" w:cs="Arial"/>
                <w:bCs/>
                <w:color w:val="000000"/>
                <w:sz w:val="16"/>
                <w:szCs w:val="16"/>
              </w:rPr>
            </w:pPr>
            <w:r w:rsidRPr="00144B9A">
              <w:rPr>
                <w:rFonts w:ascii="Verdana" w:hAnsi="Verdana" w:cs="Arial"/>
                <w:bCs/>
                <w:color w:val="000000"/>
                <w:sz w:val="16"/>
                <w:szCs w:val="16"/>
              </w:rPr>
              <w:t>BB</w:t>
            </w:r>
          </w:p>
        </w:tc>
        <w:tc>
          <w:tcPr>
            <w:tcW w:w="1864" w:type="dxa"/>
            <w:vAlign w:val="bottom"/>
          </w:tcPr>
          <w:p w14:paraId="733356AC" w14:textId="77777777"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&gt; 6.54-11.15</w:t>
            </w:r>
          </w:p>
        </w:tc>
        <w:tc>
          <w:tcPr>
            <w:tcW w:w="1843" w:type="dxa"/>
            <w:vAlign w:val="bottom"/>
          </w:tcPr>
          <w:p w14:paraId="1390FA0D" w14:textId="77777777"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&gt; 5-28</w:t>
            </w:r>
          </w:p>
        </w:tc>
        <w:tc>
          <w:tcPr>
            <w:tcW w:w="1701" w:type="dxa"/>
            <w:vAlign w:val="bottom"/>
          </w:tcPr>
          <w:p w14:paraId="3BD5780D" w14:textId="77777777"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&gt; 9-17</w:t>
            </w:r>
          </w:p>
        </w:tc>
        <w:tc>
          <w:tcPr>
            <w:tcW w:w="1701" w:type="dxa"/>
            <w:vAlign w:val="bottom"/>
          </w:tcPr>
          <w:p w14:paraId="076B4E76" w14:textId="77777777"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&gt; 5-28</w:t>
            </w:r>
          </w:p>
        </w:tc>
      </w:tr>
      <w:tr w:rsidR="002E3760" w:rsidRPr="002B3025" w14:paraId="72B798E6" w14:textId="77777777" w:rsidTr="00B02FF5">
        <w:trPr>
          <w:trHeight w:val="250"/>
          <w:jc w:val="center"/>
        </w:trPr>
        <w:tc>
          <w:tcPr>
            <w:tcW w:w="1675" w:type="dxa"/>
            <w:vAlign w:val="bottom"/>
          </w:tcPr>
          <w:p w14:paraId="36B0CC31" w14:textId="77777777" w:rsidR="002B3025" w:rsidRPr="00144B9A" w:rsidRDefault="002B3025" w:rsidP="00B929BB">
            <w:pPr>
              <w:jc w:val="both"/>
              <w:rPr>
                <w:rFonts w:ascii="Verdana" w:hAnsi="Verdana" w:cs="Arial"/>
                <w:bCs/>
                <w:color w:val="000000"/>
                <w:sz w:val="16"/>
                <w:szCs w:val="16"/>
              </w:rPr>
            </w:pPr>
            <w:r w:rsidRPr="00144B9A">
              <w:rPr>
                <w:rFonts w:ascii="Verdana" w:hAnsi="Verdana" w:cs="Arial"/>
                <w:bCs/>
                <w:color w:val="000000"/>
                <w:sz w:val="16"/>
                <w:szCs w:val="16"/>
              </w:rPr>
              <w:t>B</w:t>
            </w:r>
          </w:p>
        </w:tc>
        <w:tc>
          <w:tcPr>
            <w:tcW w:w="1864" w:type="dxa"/>
            <w:vAlign w:val="bottom"/>
          </w:tcPr>
          <w:p w14:paraId="37964699" w14:textId="795EF994"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&gt;11.15-18.26</w:t>
            </w:r>
          </w:p>
        </w:tc>
        <w:tc>
          <w:tcPr>
            <w:tcW w:w="1843" w:type="dxa"/>
            <w:vAlign w:val="bottom"/>
          </w:tcPr>
          <w:p w14:paraId="1B1F2A69" w14:textId="77777777"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&gt;28-40</w:t>
            </w:r>
          </w:p>
        </w:tc>
        <w:tc>
          <w:tcPr>
            <w:tcW w:w="1701" w:type="dxa"/>
            <w:vAlign w:val="bottom"/>
          </w:tcPr>
          <w:p w14:paraId="15AAB4EC" w14:textId="77777777"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&gt;17-28</w:t>
            </w:r>
          </w:p>
        </w:tc>
        <w:tc>
          <w:tcPr>
            <w:tcW w:w="1701" w:type="dxa"/>
            <w:vAlign w:val="bottom"/>
          </w:tcPr>
          <w:p w14:paraId="50EB6CBE" w14:textId="77777777"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&gt;28-40</w:t>
            </w:r>
          </w:p>
        </w:tc>
      </w:tr>
      <w:tr w:rsidR="002E3760" w:rsidRPr="002B3025" w14:paraId="45812086" w14:textId="77777777" w:rsidTr="00B02FF5">
        <w:trPr>
          <w:trHeight w:val="250"/>
          <w:jc w:val="center"/>
        </w:trPr>
        <w:tc>
          <w:tcPr>
            <w:tcW w:w="1675" w:type="dxa"/>
            <w:vAlign w:val="bottom"/>
          </w:tcPr>
          <w:p w14:paraId="0871B4A2" w14:textId="77777777" w:rsidR="002B3025" w:rsidRPr="00144B9A" w:rsidRDefault="002B3025" w:rsidP="00B929BB">
            <w:pPr>
              <w:jc w:val="both"/>
              <w:rPr>
                <w:rFonts w:ascii="Verdana" w:hAnsi="Verdana" w:cs="Arial"/>
                <w:bCs/>
                <w:color w:val="000000"/>
                <w:sz w:val="16"/>
                <w:szCs w:val="16"/>
              </w:rPr>
            </w:pPr>
            <w:r w:rsidRPr="00144B9A">
              <w:rPr>
                <w:rFonts w:ascii="Verdana" w:hAnsi="Verdana" w:cs="Arial"/>
                <w:bCs/>
                <w:color w:val="000000"/>
                <w:sz w:val="16"/>
                <w:szCs w:val="16"/>
              </w:rPr>
              <w:t>CC</w:t>
            </w:r>
          </w:p>
        </w:tc>
        <w:tc>
          <w:tcPr>
            <w:tcW w:w="1864" w:type="dxa"/>
            <w:vAlign w:val="bottom"/>
          </w:tcPr>
          <w:p w14:paraId="0D2B4EBF" w14:textId="25DB4D4D"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&gt;18.26-40.96</w:t>
            </w:r>
          </w:p>
        </w:tc>
        <w:tc>
          <w:tcPr>
            <w:tcW w:w="1843" w:type="dxa"/>
            <w:vAlign w:val="bottom"/>
          </w:tcPr>
          <w:p w14:paraId="5178A916" w14:textId="77777777"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&gt;40-53</w:t>
            </w:r>
          </w:p>
        </w:tc>
        <w:tc>
          <w:tcPr>
            <w:tcW w:w="1701" w:type="dxa"/>
            <w:vAlign w:val="bottom"/>
          </w:tcPr>
          <w:p w14:paraId="1CFB9792" w14:textId="77777777"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&gt;28-41</w:t>
            </w:r>
          </w:p>
        </w:tc>
        <w:tc>
          <w:tcPr>
            <w:tcW w:w="1701" w:type="dxa"/>
            <w:vAlign w:val="bottom"/>
          </w:tcPr>
          <w:p w14:paraId="7AF28910" w14:textId="77777777"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&gt;40-53</w:t>
            </w:r>
          </w:p>
        </w:tc>
      </w:tr>
      <w:tr w:rsidR="002E3760" w:rsidRPr="002B3025" w14:paraId="6A84A8FE" w14:textId="77777777" w:rsidTr="00B02FF5">
        <w:trPr>
          <w:trHeight w:val="250"/>
          <w:jc w:val="center"/>
        </w:trPr>
        <w:tc>
          <w:tcPr>
            <w:tcW w:w="1675" w:type="dxa"/>
            <w:vAlign w:val="bottom"/>
          </w:tcPr>
          <w:p w14:paraId="05C99C4F" w14:textId="77777777" w:rsidR="002B3025" w:rsidRPr="00144B9A" w:rsidRDefault="002B3025" w:rsidP="00B929BB">
            <w:pPr>
              <w:jc w:val="both"/>
              <w:rPr>
                <w:rFonts w:ascii="Verdana" w:hAnsi="Verdana" w:cs="Arial"/>
                <w:bCs/>
                <w:color w:val="000000"/>
                <w:sz w:val="16"/>
                <w:szCs w:val="16"/>
              </w:rPr>
            </w:pPr>
            <w:r w:rsidRPr="00144B9A">
              <w:rPr>
                <w:rFonts w:ascii="Verdana" w:hAnsi="Verdana" w:cs="Arial"/>
                <w:bCs/>
                <w:color w:val="000000"/>
                <w:sz w:val="16"/>
                <w:szCs w:val="16"/>
              </w:rPr>
              <w:t>C</w:t>
            </w:r>
          </w:p>
        </w:tc>
        <w:tc>
          <w:tcPr>
            <w:tcW w:w="1864" w:type="dxa"/>
            <w:vAlign w:val="bottom"/>
          </w:tcPr>
          <w:p w14:paraId="227E3E32" w14:textId="77777777"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&gt; 40.96- 72.75</w:t>
            </w:r>
          </w:p>
        </w:tc>
        <w:tc>
          <w:tcPr>
            <w:tcW w:w="1843" w:type="dxa"/>
            <w:vAlign w:val="bottom"/>
          </w:tcPr>
          <w:p w14:paraId="6024C02E" w14:textId="77777777"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&gt;53-70</w:t>
            </w:r>
          </w:p>
        </w:tc>
        <w:tc>
          <w:tcPr>
            <w:tcW w:w="1701" w:type="dxa"/>
            <w:vAlign w:val="bottom"/>
          </w:tcPr>
          <w:p w14:paraId="7CED9181" w14:textId="77777777"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&gt;41-78</w:t>
            </w:r>
          </w:p>
        </w:tc>
        <w:tc>
          <w:tcPr>
            <w:tcW w:w="1701" w:type="dxa"/>
            <w:vAlign w:val="bottom"/>
          </w:tcPr>
          <w:p w14:paraId="40F3F82D" w14:textId="77777777"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&gt;53-70</w:t>
            </w:r>
          </w:p>
        </w:tc>
      </w:tr>
      <w:tr w:rsidR="002E3760" w:rsidRPr="002B3025" w14:paraId="74A9E832" w14:textId="77777777" w:rsidTr="00B02FF5">
        <w:trPr>
          <w:trHeight w:val="250"/>
          <w:jc w:val="center"/>
        </w:trPr>
        <w:tc>
          <w:tcPr>
            <w:tcW w:w="1675" w:type="dxa"/>
            <w:vAlign w:val="bottom"/>
          </w:tcPr>
          <w:p w14:paraId="7E53FF85" w14:textId="77777777" w:rsidR="002B3025" w:rsidRPr="00144B9A" w:rsidRDefault="002B3025" w:rsidP="00B929BB">
            <w:pPr>
              <w:jc w:val="both"/>
              <w:rPr>
                <w:rFonts w:ascii="Verdana" w:hAnsi="Verdana" w:cs="Arial"/>
                <w:bCs/>
                <w:color w:val="000000"/>
                <w:sz w:val="16"/>
                <w:szCs w:val="16"/>
              </w:rPr>
            </w:pPr>
            <w:r w:rsidRPr="00144B9A">
              <w:rPr>
                <w:rFonts w:ascii="Verdana" w:hAnsi="Verdana" w:cs="Arial"/>
                <w:bCs/>
                <w:color w:val="000000"/>
                <w:sz w:val="16"/>
                <w:szCs w:val="16"/>
              </w:rPr>
              <w:t>D</w:t>
            </w:r>
          </w:p>
        </w:tc>
        <w:tc>
          <w:tcPr>
            <w:tcW w:w="1864" w:type="dxa"/>
            <w:vAlign w:val="bottom"/>
          </w:tcPr>
          <w:p w14:paraId="777E9D0E" w14:textId="77777777"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&gt; 72.75-89.89</w:t>
            </w:r>
          </w:p>
        </w:tc>
        <w:tc>
          <w:tcPr>
            <w:tcW w:w="1843" w:type="dxa"/>
            <w:vAlign w:val="bottom"/>
          </w:tcPr>
          <w:p w14:paraId="4F5C1925" w14:textId="77777777"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&gt;70-82</w:t>
            </w:r>
          </w:p>
        </w:tc>
        <w:tc>
          <w:tcPr>
            <w:tcW w:w="1701" w:type="dxa"/>
            <w:vAlign w:val="bottom"/>
          </w:tcPr>
          <w:p w14:paraId="1B3D9269" w14:textId="77777777"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&gt;78-91</w:t>
            </w:r>
          </w:p>
        </w:tc>
        <w:tc>
          <w:tcPr>
            <w:tcW w:w="1701" w:type="dxa"/>
            <w:vAlign w:val="bottom"/>
          </w:tcPr>
          <w:p w14:paraId="24268430" w14:textId="77777777"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&gt;70-82</w:t>
            </w:r>
          </w:p>
        </w:tc>
      </w:tr>
      <w:tr w:rsidR="002E3760" w:rsidRPr="002B3025" w14:paraId="5C042558" w14:textId="77777777" w:rsidTr="00B02FF5">
        <w:trPr>
          <w:trHeight w:val="265"/>
          <w:jc w:val="center"/>
        </w:trPr>
        <w:tc>
          <w:tcPr>
            <w:tcW w:w="1675" w:type="dxa"/>
            <w:vAlign w:val="bottom"/>
          </w:tcPr>
          <w:p w14:paraId="353DC04C" w14:textId="77777777" w:rsidR="002B3025" w:rsidRPr="00144B9A" w:rsidRDefault="002B3025" w:rsidP="00B929BB">
            <w:pPr>
              <w:jc w:val="both"/>
              <w:rPr>
                <w:rFonts w:ascii="Verdana" w:hAnsi="Verdana" w:cs="Arial"/>
                <w:bCs/>
                <w:color w:val="000000"/>
                <w:sz w:val="16"/>
                <w:szCs w:val="16"/>
              </w:rPr>
            </w:pPr>
            <w:r w:rsidRPr="00144B9A">
              <w:rPr>
                <w:rFonts w:ascii="Verdana" w:hAnsi="Verdana" w:cs="Arial"/>
                <w:bCs/>
                <w:color w:val="000000"/>
                <w:sz w:val="16"/>
                <w:szCs w:val="16"/>
              </w:rPr>
              <w:t>E</w:t>
            </w:r>
          </w:p>
        </w:tc>
        <w:tc>
          <w:tcPr>
            <w:tcW w:w="1864" w:type="dxa"/>
            <w:vAlign w:val="bottom"/>
          </w:tcPr>
          <w:p w14:paraId="1D070073" w14:textId="77777777"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&gt;89.89-100</w:t>
            </w:r>
          </w:p>
        </w:tc>
        <w:tc>
          <w:tcPr>
            <w:tcW w:w="1843" w:type="dxa"/>
            <w:vAlign w:val="bottom"/>
          </w:tcPr>
          <w:p w14:paraId="30A8F147" w14:textId="77777777"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&gt;82-100</w:t>
            </w:r>
          </w:p>
        </w:tc>
        <w:tc>
          <w:tcPr>
            <w:tcW w:w="1701" w:type="dxa"/>
            <w:vAlign w:val="bottom"/>
          </w:tcPr>
          <w:p w14:paraId="5C3CFECB" w14:textId="77777777"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&gt;91-100</w:t>
            </w:r>
          </w:p>
        </w:tc>
        <w:tc>
          <w:tcPr>
            <w:tcW w:w="1701" w:type="dxa"/>
            <w:vAlign w:val="bottom"/>
          </w:tcPr>
          <w:p w14:paraId="2B078EF5" w14:textId="77777777" w:rsidR="002B3025" w:rsidRPr="00144B9A" w:rsidRDefault="002B3025" w:rsidP="00B929BB">
            <w:pPr>
              <w:jc w:val="both"/>
              <w:rPr>
                <w:rFonts w:ascii="Verdana" w:hAnsi="Verdana" w:cs="Arial"/>
                <w:bCs/>
                <w:sz w:val="16"/>
                <w:szCs w:val="16"/>
              </w:rPr>
            </w:pPr>
            <w:r w:rsidRPr="00144B9A">
              <w:rPr>
                <w:rFonts w:ascii="Verdana" w:hAnsi="Verdana" w:cs="Arial"/>
                <w:bCs/>
                <w:sz w:val="16"/>
                <w:szCs w:val="16"/>
              </w:rPr>
              <w:t>&gt;82-100</w:t>
            </w:r>
          </w:p>
        </w:tc>
      </w:tr>
    </w:tbl>
    <w:p w14:paraId="36F954A3" w14:textId="77777777" w:rsidR="00E068B9" w:rsidRDefault="00E068B9" w:rsidP="006266F0">
      <w:pPr>
        <w:spacing w:after="0"/>
        <w:rPr>
          <w:rFonts w:ascii="Verdana" w:hAnsi="Verdana"/>
          <w:sz w:val="20"/>
          <w:szCs w:val="20"/>
        </w:rPr>
      </w:pPr>
    </w:p>
    <w:p w14:paraId="491B45D3" w14:textId="69C14823" w:rsidR="006266F0" w:rsidRPr="001C6CAB" w:rsidRDefault="006266F0" w:rsidP="006266F0">
      <w:pPr>
        <w:spacing w:after="0"/>
        <w:rPr>
          <w:rFonts w:ascii="Verdana" w:hAnsi="Verdana"/>
          <w:sz w:val="20"/>
          <w:szCs w:val="20"/>
        </w:rPr>
      </w:pPr>
      <w:r w:rsidRPr="001C6CAB">
        <w:rPr>
          <w:rFonts w:ascii="Verdana" w:hAnsi="Verdana"/>
          <w:sz w:val="20"/>
          <w:szCs w:val="20"/>
        </w:rPr>
        <w:t>1.1.3.</w:t>
      </w:r>
      <w:r>
        <w:rPr>
          <w:rFonts w:ascii="Verdana" w:hAnsi="Verdana"/>
          <w:sz w:val="20"/>
          <w:szCs w:val="20"/>
        </w:rPr>
        <w:t>5</w:t>
      </w:r>
      <w:r w:rsidR="00412DEF">
        <w:rPr>
          <w:rFonts w:ascii="Verdana" w:hAnsi="Verdana"/>
          <w:sz w:val="20"/>
          <w:szCs w:val="20"/>
        </w:rPr>
        <w:t>5</w:t>
      </w:r>
      <w:r w:rsidRPr="001C6CAB">
        <w:rPr>
          <w:rFonts w:ascii="Verdana" w:hAnsi="Verdana"/>
          <w:sz w:val="20"/>
          <w:szCs w:val="20"/>
        </w:rPr>
        <w:t>.</w:t>
      </w:r>
    </w:p>
    <w:p w14:paraId="6DC819A9" w14:textId="4404721C" w:rsidR="002B3025" w:rsidRDefault="002B3025" w:rsidP="007F1A53">
      <w:pPr>
        <w:spacing w:after="0" w:line="240" w:lineRule="auto"/>
        <w:jc w:val="both"/>
        <w:rPr>
          <w:rFonts w:ascii="Verdana" w:hAnsi="Verdana" w:cs="Arial"/>
          <w:bCs/>
          <w:sz w:val="20"/>
          <w:szCs w:val="20"/>
        </w:rPr>
      </w:pPr>
      <w:r w:rsidRPr="00557DAC">
        <w:rPr>
          <w:rFonts w:ascii="Verdana" w:hAnsi="Verdana" w:cs="Arial"/>
          <w:bCs/>
          <w:sz w:val="20"/>
          <w:szCs w:val="20"/>
        </w:rPr>
        <w:t>Homologar las calificaciones resultantes de los modelos de referencia.</w:t>
      </w:r>
    </w:p>
    <w:p w14:paraId="343B5372" w14:textId="77777777" w:rsidR="007F1A53" w:rsidRPr="002B3025" w:rsidRDefault="007F1A53" w:rsidP="007F1A53">
      <w:pPr>
        <w:spacing w:after="0" w:line="240" w:lineRule="auto"/>
        <w:jc w:val="both"/>
        <w:rPr>
          <w:rFonts w:ascii="Verdana" w:hAnsi="Verdana" w:cs="Arial"/>
          <w:bCs/>
          <w:sz w:val="20"/>
          <w:szCs w:val="20"/>
        </w:rPr>
      </w:pPr>
    </w:p>
    <w:p w14:paraId="107838BC" w14:textId="4FF5C247" w:rsidR="002C7491" w:rsidRPr="001C6CAB" w:rsidRDefault="002C7491" w:rsidP="002C7491">
      <w:pPr>
        <w:spacing w:after="0"/>
        <w:rPr>
          <w:rFonts w:ascii="Verdana" w:hAnsi="Verdana"/>
          <w:sz w:val="20"/>
          <w:szCs w:val="20"/>
        </w:rPr>
      </w:pPr>
      <w:r w:rsidRPr="001C6CAB">
        <w:rPr>
          <w:rFonts w:ascii="Verdana" w:hAnsi="Verdana"/>
          <w:sz w:val="20"/>
          <w:szCs w:val="20"/>
        </w:rPr>
        <w:t>1.1.3.</w:t>
      </w:r>
      <w:r>
        <w:rPr>
          <w:rFonts w:ascii="Verdana" w:hAnsi="Verdana"/>
          <w:sz w:val="20"/>
          <w:szCs w:val="20"/>
        </w:rPr>
        <w:t>5</w:t>
      </w:r>
      <w:r w:rsidR="007F1A53">
        <w:rPr>
          <w:rFonts w:ascii="Verdana" w:hAnsi="Verdana"/>
          <w:sz w:val="20"/>
          <w:szCs w:val="20"/>
        </w:rPr>
        <w:t>6</w:t>
      </w:r>
      <w:r w:rsidRPr="001C6CAB">
        <w:rPr>
          <w:rFonts w:ascii="Verdana" w:hAnsi="Verdana"/>
          <w:sz w:val="20"/>
          <w:szCs w:val="20"/>
        </w:rPr>
        <w:t>.</w:t>
      </w:r>
    </w:p>
    <w:p w14:paraId="0CFC11AE" w14:textId="3D4A5FD0" w:rsidR="002C7491" w:rsidRPr="002C7491" w:rsidRDefault="002B3025" w:rsidP="002C7491">
      <w:pPr>
        <w:jc w:val="both"/>
        <w:rPr>
          <w:rFonts w:ascii="Verdana" w:hAnsi="Verdana" w:cs="Arial"/>
          <w:bCs/>
          <w:sz w:val="20"/>
          <w:szCs w:val="20"/>
        </w:rPr>
      </w:pPr>
      <w:r w:rsidRPr="002C7491">
        <w:rPr>
          <w:rFonts w:ascii="Verdana" w:hAnsi="Verdana" w:cs="Arial"/>
          <w:bCs/>
          <w:sz w:val="20"/>
          <w:szCs w:val="20"/>
        </w:rPr>
        <w:t>Cartera comercial:</w:t>
      </w:r>
    </w:p>
    <w:tbl>
      <w:tblPr>
        <w:tblW w:w="4036" w:type="dxa"/>
        <w:tblInd w:w="2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1"/>
        <w:gridCol w:w="1985"/>
      </w:tblGrid>
      <w:tr w:rsidR="002B3025" w:rsidRPr="002B3025" w14:paraId="6BD05217" w14:textId="77777777" w:rsidTr="00233821">
        <w:trPr>
          <w:trHeight w:val="241"/>
        </w:trPr>
        <w:tc>
          <w:tcPr>
            <w:tcW w:w="4036" w:type="dxa"/>
            <w:gridSpan w:val="2"/>
            <w:shd w:val="clear" w:color="auto" w:fill="D1D1D1" w:themeFill="background2" w:themeFillShade="E6"/>
            <w:vAlign w:val="bottom"/>
          </w:tcPr>
          <w:p w14:paraId="55104267" w14:textId="77777777" w:rsidR="002B3025" w:rsidRPr="00144B9A" w:rsidRDefault="002B3025" w:rsidP="00E068B9">
            <w:pPr>
              <w:spacing w:after="0" w:line="240" w:lineRule="auto"/>
              <w:jc w:val="center"/>
              <w:rPr>
                <w:rFonts w:ascii="Verdana" w:eastAsia="Times New Roman" w:hAnsi="Verdana" w:cs="Arial"/>
                <w:b/>
                <w:color w:val="000000"/>
                <w:kern w:val="0"/>
                <w:sz w:val="16"/>
                <w:szCs w:val="16"/>
                <w:lang w:eastAsia="es-CO"/>
                <w14:ligatures w14:val="none"/>
              </w:rPr>
            </w:pPr>
            <w:r w:rsidRPr="00144B9A">
              <w:rPr>
                <w:rFonts w:ascii="Verdana" w:eastAsia="Times New Roman" w:hAnsi="Verdana" w:cs="Arial"/>
                <w:b/>
                <w:color w:val="000000"/>
                <w:kern w:val="0"/>
                <w:sz w:val="16"/>
                <w:szCs w:val="16"/>
                <w:lang w:eastAsia="es-CO"/>
                <w14:ligatures w14:val="none"/>
              </w:rPr>
              <w:t>Agregación categorías reportadas</w:t>
            </w:r>
          </w:p>
        </w:tc>
      </w:tr>
      <w:tr w:rsidR="002B3025" w:rsidRPr="002B3025" w14:paraId="3A36240A" w14:textId="77777777" w:rsidTr="00233821">
        <w:trPr>
          <w:trHeight w:val="233"/>
        </w:trPr>
        <w:tc>
          <w:tcPr>
            <w:tcW w:w="2051" w:type="dxa"/>
            <w:shd w:val="clear" w:color="auto" w:fill="D1D1D1" w:themeFill="background2" w:themeFillShade="E6"/>
            <w:vAlign w:val="center"/>
          </w:tcPr>
          <w:p w14:paraId="31EA330B" w14:textId="77777777" w:rsidR="002B3025" w:rsidRPr="00144B9A" w:rsidRDefault="002B3025" w:rsidP="00E068B9">
            <w:pPr>
              <w:spacing w:after="0" w:line="240" w:lineRule="auto"/>
              <w:jc w:val="center"/>
              <w:rPr>
                <w:rFonts w:ascii="Verdana" w:eastAsia="Times New Roman" w:hAnsi="Verdana" w:cs="Arial"/>
                <w:b/>
                <w:color w:val="000000"/>
                <w:kern w:val="0"/>
                <w:sz w:val="16"/>
                <w:szCs w:val="16"/>
                <w:lang w:eastAsia="es-CO"/>
                <w14:ligatures w14:val="none"/>
              </w:rPr>
            </w:pPr>
            <w:r w:rsidRPr="00144B9A">
              <w:rPr>
                <w:rFonts w:ascii="Verdana" w:eastAsia="Times New Roman" w:hAnsi="Verdana" w:cs="Arial"/>
                <w:b/>
                <w:color w:val="000000"/>
                <w:kern w:val="0"/>
                <w:sz w:val="16"/>
                <w:szCs w:val="16"/>
                <w:lang w:eastAsia="es-CO"/>
                <w14:ligatures w14:val="none"/>
              </w:rPr>
              <w:t>Categoría de reporte</w:t>
            </w:r>
          </w:p>
        </w:tc>
        <w:tc>
          <w:tcPr>
            <w:tcW w:w="1985" w:type="dxa"/>
            <w:shd w:val="clear" w:color="auto" w:fill="D1D1D1" w:themeFill="background2" w:themeFillShade="E6"/>
            <w:vAlign w:val="center"/>
          </w:tcPr>
          <w:p w14:paraId="00B4FC0D" w14:textId="77777777" w:rsidR="002B3025" w:rsidRPr="00144B9A" w:rsidRDefault="002B3025" w:rsidP="00E068B9">
            <w:pPr>
              <w:spacing w:after="0" w:line="240" w:lineRule="auto"/>
              <w:jc w:val="center"/>
              <w:rPr>
                <w:rFonts w:ascii="Verdana" w:eastAsia="Times New Roman" w:hAnsi="Verdana" w:cs="Arial"/>
                <w:b/>
                <w:color w:val="000000"/>
                <w:kern w:val="0"/>
                <w:sz w:val="16"/>
                <w:szCs w:val="16"/>
                <w:lang w:eastAsia="es-CO"/>
                <w14:ligatures w14:val="none"/>
              </w:rPr>
            </w:pPr>
            <w:r w:rsidRPr="00144B9A">
              <w:rPr>
                <w:rFonts w:ascii="Verdana" w:eastAsia="Times New Roman" w:hAnsi="Verdana" w:cs="Arial"/>
                <w:b/>
                <w:color w:val="000000"/>
                <w:kern w:val="0"/>
                <w:sz w:val="16"/>
                <w:szCs w:val="16"/>
                <w:lang w:eastAsia="es-CO"/>
                <w14:ligatures w14:val="none"/>
              </w:rPr>
              <w:t>Categoría agrupada</w:t>
            </w:r>
          </w:p>
        </w:tc>
      </w:tr>
      <w:tr w:rsidR="002B3025" w:rsidRPr="002B3025" w14:paraId="26DDA47D" w14:textId="77777777" w:rsidTr="00E068B9">
        <w:trPr>
          <w:trHeight w:val="271"/>
        </w:trPr>
        <w:tc>
          <w:tcPr>
            <w:tcW w:w="2051" w:type="dxa"/>
            <w:noWrap/>
            <w:vAlign w:val="bottom"/>
          </w:tcPr>
          <w:p w14:paraId="4A1158A5" w14:textId="77777777" w:rsidR="002B3025" w:rsidRPr="00144B9A" w:rsidRDefault="002B3025" w:rsidP="00E068B9">
            <w:pPr>
              <w:spacing w:after="0" w:line="240" w:lineRule="auto"/>
              <w:jc w:val="center"/>
              <w:rPr>
                <w:rFonts w:ascii="Verdana" w:eastAsia="Times New Roman" w:hAnsi="Verdana" w:cs="Arial"/>
                <w:bCs/>
                <w:color w:val="000000"/>
                <w:kern w:val="0"/>
                <w:sz w:val="16"/>
                <w:szCs w:val="16"/>
                <w:lang w:eastAsia="es-CO"/>
                <w14:ligatures w14:val="none"/>
              </w:rPr>
            </w:pPr>
            <w:r w:rsidRPr="00144B9A">
              <w:rPr>
                <w:rFonts w:ascii="Verdana" w:eastAsia="Times New Roman" w:hAnsi="Verdana" w:cs="Arial"/>
                <w:bCs/>
                <w:color w:val="000000"/>
                <w:kern w:val="0"/>
                <w:sz w:val="16"/>
                <w:szCs w:val="16"/>
                <w:lang w:eastAsia="es-CO"/>
                <w14:ligatures w14:val="none"/>
              </w:rPr>
              <w:t>AA</w:t>
            </w:r>
          </w:p>
        </w:tc>
        <w:tc>
          <w:tcPr>
            <w:tcW w:w="1985" w:type="dxa"/>
            <w:noWrap/>
            <w:vAlign w:val="bottom"/>
          </w:tcPr>
          <w:p w14:paraId="16827C0C" w14:textId="77777777" w:rsidR="002B3025" w:rsidRPr="00144B9A" w:rsidRDefault="002B3025" w:rsidP="00E068B9">
            <w:pPr>
              <w:spacing w:after="0" w:line="240" w:lineRule="auto"/>
              <w:jc w:val="center"/>
              <w:rPr>
                <w:rFonts w:ascii="Verdana" w:eastAsia="Times New Roman" w:hAnsi="Verdana" w:cs="Arial"/>
                <w:bCs/>
                <w:color w:val="000000"/>
                <w:kern w:val="0"/>
                <w:sz w:val="16"/>
                <w:szCs w:val="16"/>
                <w:lang w:eastAsia="es-CO"/>
                <w14:ligatures w14:val="none"/>
              </w:rPr>
            </w:pPr>
            <w:r w:rsidRPr="00144B9A">
              <w:rPr>
                <w:rFonts w:ascii="Verdana" w:eastAsia="Times New Roman" w:hAnsi="Verdana" w:cs="Arial"/>
                <w:bCs/>
                <w:color w:val="000000"/>
                <w:kern w:val="0"/>
                <w:sz w:val="16"/>
                <w:szCs w:val="16"/>
                <w:lang w:eastAsia="es-CO"/>
                <w14:ligatures w14:val="none"/>
              </w:rPr>
              <w:t>A</w:t>
            </w:r>
          </w:p>
        </w:tc>
      </w:tr>
      <w:tr w:rsidR="002B3025" w:rsidRPr="002B3025" w14:paraId="3435397E" w14:textId="77777777" w:rsidTr="00E068B9">
        <w:trPr>
          <w:trHeight w:val="255"/>
        </w:trPr>
        <w:tc>
          <w:tcPr>
            <w:tcW w:w="2051" w:type="dxa"/>
            <w:noWrap/>
            <w:vAlign w:val="bottom"/>
          </w:tcPr>
          <w:p w14:paraId="1FFC17DE" w14:textId="77777777" w:rsidR="002B3025" w:rsidRPr="00144B9A" w:rsidRDefault="002B3025" w:rsidP="00E068B9">
            <w:pPr>
              <w:spacing w:after="0" w:line="240" w:lineRule="auto"/>
              <w:jc w:val="center"/>
              <w:rPr>
                <w:rFonts w:ascii="Verdana" w:eastAsia="Times New Roman" w:hAnsi="Verdana" w:cs="Arial"/>
                <w:bCs/>
                <w:color w:val="000000"/>
                <w:kern w:val="0"/>
                <w:sz w:val="16"/>
                <w:szCs w:val="16"/>
                <w:lang w:eastAsia="es-CO"/>
                <w14:ligatures w14:val="none"/>
              </w:rPr>
            </w:pPr>
            <w:r w:rsidRPr="00144B9A">
              <w:rPr>
                <w:rFonts w:ascii="Verdana" w:eastAsia="Times New Roman" w:hAnsi="Verdana" w:cs="Arial"/>
                <w:bCs/>
                <w:color w:val="000000"/>
                <w:kern w:val="0"/>
                <w:sz w:val="16"/>
                <w:szCs w:val="16"/>
                <w:lang w:eastAsia="es-CO"/>
                <w14:ligatures w14:val="none"/>
              </w:rPr>
              <w:t>A</w:t>
            </w:r>
          </w:p>
        </w:tc>
        <w:tc>
          <w:tcPr>
            <w:tcW w:w="1985" w:type="dxa"/>
            <w:noWrap/>
            <w:vAlign w:val="bottom"/>
          </w:tcPr>
          <w:p w14:paraId="252C6BED" w14:textId="77777777" w:rsidR="002B3025" w:rsidRPr="00144B9A" w:rsidRDefault="002B3025" w:rsidP="00E068B9">
            <w:pPr>
              <w:spacing w:after="0" w:line="240" w:lineRule="auto"/>
              <w:jc w:val="center"/>
              <w:rPr>
                <w:rFonts w:ascii="Verdana" w:eastAsia="Times New Roman" w:hAnsi="Verdana" w:cs="Arial"/>
                <w:bCs/>
                <w:color w:val="000000"/>
                <w:kern w:val="0"/>
                <w:sz w:val="16"/>
                <w:szCs w:val="16"/>
                <w:lang w:eastAsia="es-CO"/>
                <w14:ligatures w14:val="none"/>
              </w:rPr>
            </w:pPr>
            <w:r w:rsidRPr="00144B9A">
              <w:rPr>
                <w:rFonts w:ascii="Verdana" w:eastAsia="Times New Roman" w:hAnsi="Verdana" w:cs="Arial"/>
                <w:bCs/>
                <w:color w:val="000000"/>
                <w:kern w:val="0"/>
                <w:sz w:val="16"/>
                <w:szCs w:val="16"/>
                <w:lang w:eastAsia="es-CO"/>
                <w14:ligatures w14:val="none"/>
              </w:rPr>
              <w:t>B</w:t>
            </w:r>
          </w:p>
        </w:tc>
      </w:tr>
      <w:tr w:rsidR="002B3025" w:rsidRPr="002B3025" w14:paraId="54EC8309" w14:textId="77777777" w:rsidTr="00E068B9">
        <w:trPr>
          <w:trHeight w:val="270"/>
        </w:trPr>
        <w:tc>
          <w:tcPr>
            <w:tcW w:w="2051" w:type="dxa"/>
            <w:noWrap/>
            <w:vAlign w:val="bottom"/>
          </w:tcPr>
          <w:p w14:paraId="78EB5ACE" w14:textId="77777777" w:rsidR="002B3025" w:rsidRPr="00144B9A" w:rsidRDefault="002B3025" w:rsidP="00E068B9">
            <w:pPr>
              <w:spacing w:after="0" w:line="240" w:lineRule="auto"/>
              <w:jc w:val="center"/>
              <w:rPr>
                <w:rFonts w:ascii="Verdana" w:eastAsia="Times New Roman" w:hAnsi="Verdana" w:cs="Arial"/>
                <w:bCs/>
                <w:color w:val="000000"/>
                <w:kern w:val="0"/>
                <w:sz w:val="16"/>
                <w:szCs w:val="16"/>
                <w:lang w:eastAsia="es-CO"/>
                <w14:ligatures w14:val="none"/>
              </w:rPr>
            </w:pPr>
            <w:r w:rsidRPr="00144B9A">
              <w:rPr>
                <w:rFonts w:ascii="Verdana" w:eastAsia="Times New Roman" w:hAnsi="Verdana" w:cs="Arial"/>
                <w:bCs/>
                <w:color w:val="000000"/>
                <w:kern w:val="0"/>
                <w:sz w:val="16"/>
                <w:szCs w:val="16"/>
                <w:lang w:eastAsia="es-CO"/>
                <w14:ligatures w14:val="none"/>
              </w:rPr>
              <w:t>BB</w:t>
            </w:r>
          </w:p>
        </w:tc>
        <w:tc>
          <w:tcPr>
            <w:tcW w:w="1985" w:type="dxa"/>
            <w:noWrap/>
            <w:vAlign w:val="bottom"/>
          </w:tcPr>
          <w:p w14:paraId="78078E56" w14:textId="77777777" w:rsidR="002B3025" w:rsidRPr="00144B9A" w:rsidRDefault="002B3025" w:rsidP="00E068B9">
            <w:pPr>
              <w:spacing w:after="0" w:line="240" w:lineRule="auto"/>
              <w:jc w:val="center"/>
              <w:rPr>
                <w:rFonts w:ascii="Verdana" w:eastAsia="Times New Roman" w:hAnsi="Verdana" w:cs="Arial"/>
                <w:bCs/>
                <w:color w:val="000000"/>
                <w:kern w:val="0"/>
                <w:sz w:val="16"/>
                <w:szCs w:val="16"/>
                <w:lang w:eastAsia="es-CO"/>
                <w14:ligatures w14:val="none"/>
              </w:rPr>
            </w:pPr>
            <w:r w:rsidRPr="00144B9A">
              <w:rPr>
                <w:rFonts w:ascii="Verdana" w:eastAsia="Times New Roman" w:hAnsi="Verdana" w:cs="Arial"/>
                <w:bCs/>
                <w:color w:val="000000"/>
                <w:kern w:val="0"/>
                <w:sz w:val="16"/>
                <w:szCs w:val="16"/>
                <w:lang w:eastAsia="es-CO"/>
                <w14:ligatures w14:val="none"/>
              </w:rPr>
              <w:t>B</w:t>
            </w:r>
          </w:p>
        </w:tc>
      </w:tr>
      <w:tr w:rsidR="002B3025" w:rsidRPr="002B3025" w14:paraId="43112EAC" w14:textId="77777777" w:rsidTr="00E068B9">
        <w:trPr>
          <w:trHeight w:val="255"/>
        </w:trPr>
        <w:tc>
          <w:tcPr>
            <w:tcW w:w="2051" w:type="dxa"/>
            <w:noWrap/>
            <w:vAlign w:val="bottom"/>
          </w:tcPr>
          <w:p w14:paraId="106BCB9C" w14:textId="77777777" w:rsidR="002B3025" w:rsidRPr="00144B9A" w:rsidRDefault="002B3025" w:rsidP="00E068B9">
            <w:pPr>
              <w:spacing w:after="0" w:line="240" w:lineRule="auto"/>
              <w:jc w:val="center"/>
              <w:rPr>
                <w:rFonts w:ascii="Verdana" w:eastAsia="Times New Roman" w:hAnsi="Verdana" w:cs="Arial"/>
                <w:bCs/>
                <w:color w:val="000000"/>
                <w:kern w:val="0"/>
                <w:sz w:val="16"/>
                <w:szCs w:val="16"/>
                <w:lang w:eastAsia="es-CO"/>
                <w14:ligatures w14:val="none"/>
              </w:rPr>
            </w:pPr>
            <w:r w:rsidRPr="00144B9A">
              <w:rPr>
                <w:rFonts w:ascii="Verdana" w:eastAsia="Times New Roman" w:hAnsi="Verdana" w:cs="Arial"/>
                <w:bCs/>
                <w:color w:val="000000"/>
                <w:kern w:val="0"/>
                <w:sz w:val="16"/>
                <w:szCs w:val="16"/>
                <w:lang w:eastAsia="es-CO"/>
                <w14:ligatures w14:val="none"/>
              </w:rPr>
              <w:t>B</w:t>
            </w:r>
          </w:p>
        </w:tc>
        <w:tc>
          <w:tcPr>
            <w:tcW w:w="1985" w:type="dxa"/>
            <w:noWrap/>
            <w:vAlign w:val="bottom"/>
          </w:tcPr>
          <w:p w14:paraId="126EE343" w14:textId="77777777" w:rsidR="002B3025" w:rsidRPr="00144B9A" w:rsidRDefault="002B3025" w:rsidP="00E068B9">
            <w:pPr>
              <w:spacing w:after="0" w:line="240" w:lineRule="auto"/>
              <w:jc w:val="center"/>
              <w:rPr>
                <w:rFonts w:ascii="Verdana" w:eastAsia="Times New Roman" w:hAnsi="Verdana" w:cs="Arial"/>
                <w:bCs/>
                <w:color w:val="000000"/>
                <w:kern w:val="0"/>
                <w:sz w:val="16"/>
                <w:szCs w:val="16"/>
                <w:lang w:eastAsia="es-CO"/>
                <w14:ligatures w14:val="none"/>
              </w:rPr>
            </w:pPr>
            <w:r w:rsidRPr="00144B9A">
              <w:rPr>
                <w:rFonts w:ascii="Verdana" w:eastAsia="Times New Roman" w:hAnsi="Verdana" w:cs="Arial"/>
                <w:bCs/>
                <w:color w:val="000000"/>
                <w:kern w:val="0"/>
                <w:sz w:val="16"/>
                <w:szCs w:val="16"/>
                <w:lang w:eastAsia="es-CO"/>
                <w14:ligatures w14:val="none"/>
              </w:rPr>
              <w:t>C</w:t>
            </w:r>
          </w:p>
        </w:tc>
      </w:tr>
      <w:tr w:rsidR="002B3025" w:rsidRPr="002B3025" w14:paraId="5C97DB0E" w14:textId="77777777" w:rsidTr="00E068B9">
        <w:trPr>
          <w:trHeight w:val="255"/>
        </w:trPr>
        <w:tc>
          <w:tcPr>
            <w:tcW w:w="2051" w:type="dxa"/>
            <w:noWrap/>
            <w:vAlign w:val="bottom"/>
          </w:tcPr>
          <w:p w14:paraId="05385235" w14:textId="77777777" w:rsidR="002B3025" w:rsidRPr="00144B9A" w:rsidRDefault="002B3025" w:rsidP="00E068B9">
            <w:pPr>
              <w:spacing w:after="0" w:line="240" w:lineRule="auto"/>
              <w:jc w:val="center"/>
              <w:rPr>
                <w:rFonts w:ascii="Verdana" w:eastAsia="Times New Roman" w:hAnsi="Verdana" w:cs="Arial"/>
                <w:bCs/>
                <w:color w:val="000000"/>
                <w:kern w:val="0"/>
                <w:sz w:val="16"/>
                <w:szCs w:val="16"/>
                <w:lang w:eastAsia="es-CO"/>
                <w14:ligatures w14:val="none"/>
              </w:rPr>
            </w:pPr>
            <w:r w:rsidRPr="00144B9A">
              <w:rPr>
                <w:rFonts w:ascii="Verdana" w:eastAsia="Times New Roman" w:hAnsi="Verdana" w:cs="Arial"/>
                <w:bCs/>
                <w:color w:val="000000"/>
                <w:kern w:val="0"/>
                <w:sz w:val="16"/>
                <w:szCs w:val="16"/>
                <w:lang w:eastAsia="es-CO"/>
                <w14:ligatures w14:val="none"/>
              </w:rPr>
              <w:t>CC</w:t>
            </w:r>
          </w:p>
        </w:tc>
        <w:tc>
          <w:tcPr>
            <w:tcW w:w="1985" w:type="dxa"/>
            <w:noWrap/>
            <w:vAlign w:val="bottom"/>
          </w:tcPr>
          <w:p w14:paraId="5CB666F0" w14:textId="77777777" w:rsidR="002B3025" w:rsidRPr="00144B9A" w:rsidRDefault="002B3025" w:rsidP="00E068B9">
            <w:pPr>
              <w:spacing w:after="0" w:line="240" w:lineRule="auto"/>
              <w:jc w:val="center"/>
              <w:rPr>
                <w:rFonts w:ascii="Verdana" w:eastAsia="Times New Roman" w:hAnsi="Verdana" w:cs="Arial"/>
                <w:bCs/>
                <w:color w:val="000000"/>
                <w:kern w:val="0"/>
                <w:sz w:val="16"/>
                <w:szCs w:val="16"/>
                <w:lang w:eastAsia="es-CO"/>
                <w14:ligatures w14:val="none"/>
              </w:rPr>
            </w:pPr>
            <w:r w:rsidRPr="00144B9A">
              <w:rPr>
                <w:rFonts w:ascii="Verdana" w:eastAsia="Times New Roman" w:hAnsi="Verdana" w:cs="Arial"/>
                <w:bCs/>
                <w:color w:val="000000"/>
                <w:kern w:val="0"/>
                <w:sz w:val="16"/>
                <w:szCs w:val="16"/>
                <w:lang w:eastAsia="es-CO"/>
                <w14:ligatures w14:val="none"/>
              </w:rPr>
              <w:t>C</w:t>
            </w:r>
          </w:p>
        </w:tc>
      </w:tr>
      <w:tr w:rsidR="002B3025" w:rsidRPr="002B3025" w14:paraId="435A73FE" w14:textId="77777777" w:rsidTr="00233821">
        <w:trPr>
          <w:trHeight w:val="143"/>
        </w:trPr>
        <w:tc>
          <w:tcPr>
            <w:tcW w:w="2051" w:type="dxa"/>
            <w:noWrap/>
            <w:vAlign w:val="bottom"/>
          </w:tcPr>
          <w:p w14:paraId="48BB8812" w14:textId="77777777" w:rsidR="002B3025" w:rsidRPr="00144B9A" w:rsidRDefault="002B3025" w:rsidP="00E068B9">
            <w:pPr>
              <w:spacing w:after="0" w:line="240" w:lineRule="auto"/>
              <w:jc w:val="center"/>
              <w:rPr>
                <w:rFonts w:ascii="Verdana" w:eastAsia="Times New Roman" w:hAnsi="Verdana" w:cs="Arial"/>
                <w:bCs/>
                <w:color w:val="000000"/>
                <w:kern w:val="0"/>
                <w:sz w:val="16"/>
                <w:szCs w:val="16"/>
                <w:lang w:eastAsia="es-CO"/>
                <w14:ligatures w14:val="none"/>
              </w:rPr>
            </w:pPr>
            <w:r w:rsidRPr="00144B9A">
              <w:rPr>
                <w:rFonts w:ascii="Verdana" w:eastAsia="Times New Roman" w:hAnsi="Verdana" w:cs="Arial"/>
                <w:bCs/>
                <w:color w:val="000000"/>
                <w:kern w:val="0"/>
                <w:sz w:val="16"/>
                <w:szCs w:val="16"/>
                <w:lang w:eastAsia="es-CO"/>
                <w14:ligatures w14:val="none"/>
              </w:rPr>
              <w:t>C</w:t>
            </w:r>
          </w:p>
        </w:tc>
        <w:tc>
          <w:tcPr>
            <w:tcW w:w="1985" w:type="dxa"/>
            <w:noWrap/>
            <w:vAlign w:val="bottom"/>
          </w:tcPr>
          <w:p w14:paraId="5D5FE82A" w14:textId="77777777" w:rsidR="002B3025" w:rsidRPr="00144B9A" w:rsidRDefault="002B3025" w:rsidP="00E068B9">
            <w:pPr>
              <w:spacing w:after="0" w:line="240" w:lineRule="auto"/>
              <w:jc w:val="center"/>
              <w:rPr>
                <w:rFonts w:ascii="Verdana" w:eastAsia="Times New Roman" w:hAnsi="Verdana" w:cs="Arial"/>
                <w:bCs/>
                <w:color w:val="000000"/>
                <w:kern w:val="0"/>
                <w:sz w:val="16"/>
                <w:szCs w:val="16"/>
                <w:lang w:eastAsia="es-CO"/>
                <w14:ligatures w14:val="none"/>
              </w:rPr>
            </w:pPr>
            <w:r w:rsidRPr="00144B9A">
              <w:rPr>
                <w:rFonts w:ascii="Verdana" w:eastAsia="Times New Roman" w:hAnsi="Verdana" w:cs="Arial"/>
                <w:bCs/>
                <w:color w:val="000000"/>
                <w:kern w:val="0"/>
                <w:sz w:val="16"/>
                <w:szCs w:val="16"/>
                <w:lang w:eastAsia="es-CO"/>
                <w14:ligatures w14:val="none"/>
              </w:rPr>
              <w:t>C</w:t>
            </w:r>
          </w:p>
        </w:tc>
      </w:tr>
      <w:tr w:rsidR="002B3025" w:rsidRPr="002B3025" w14:paraId="1334B7BF" w14:textId="77777777" w:rsidTr="00E068B9">
        <w:trPr>
          <w:trHeight w:val="255"/>
        </w:trPr>
        <w:tc>
          <w:tcPr>
            <w:tcW w:w="2051" w:type="dxa"/>
            <w:noWrap/>
            <w:vAlign w:val="bottom"/>
          </w:tcPr>
          <w:p w14:paraId="00209DDC" w14:textId="77777777" w:rsidR="002B3025" w:rsidRPr="00144B9A" w:rsidRDefault="002B3025" w:rsidP="00E068B9">
            <w:pPr>
              <w:spacing w:after="0" w:line="240" w:lineRule="auto"/>
              <w:jc w:val="center"/>
              <w:rPr>
                <w:rFonts w:ascii="Verdana" w:eastAsia="Times New Roman" w:hAnsi="Verdana" w:cs="Arial"/>
                <w:bCs/>
                <w:color w:val="000000"/>
                <w:kern w:val="0"/>
                <w:sz w:val="16"/>
                <w:szCs w:val="16"/>
                <w:lang w:eastAsia="es-CO"/>
                <w14:ligatures w14:val="none"/>
              </w:rPr>
            </w:pPr>
            <w:r w:rsidRPr="00144B9A">
              <w:rPr>
                <w:rFonts w:ascii="Verdana" w:eastAsia="Times New Roman" w:hAnsi="Verdana" w:cs="Arial"/>
                <w:bCs/>
                <w:color w:val="000000"/>
                <w:kern w:val="0"/>
                <w:sz w:val="16"/>
                <w:szCs w:val="16"/>
                <w:lang w:eastAsia="es-CO"/>
                <w14:ligatures w14:val="none"/>
              </w:rPr>
              <w:t>D</w:t>
            </w:r>
          </w:p>
        </w:tc>
        <w:tc>
          <w:tcPr>
            <w:tcW w:w="1985" w:type="dxa"/>
            <w:noWrap/>
            <w:vAlign w:val="bottom"/>
          </w:tcPr>
          <w:p w14:paraId="7E54B871" w14:textId="77777777" w:rsidR="002B3025" w:rsidRPr="00144B9A" w:rsidRDefault="002B3025" w:rsidP="00E068B9">
            <w:pPr>
              <w:spacing w:after="0" w:line="240" w:lineRule="auto"/>
              <w:jc w:val="center"/>
              <w:rPr>
                <w:rFonts w:ascii="Verdana" w:eastAsia="Times New Roman" w:hAnsi="Verdana" w:cs="Arial"/>
                <w:bCs/>
                <w:color w:val="000000"/>
                <w:kern w:val="0"/>
                <w:sz w:val="16"/>
                <w:szCs w:val="16"/>
                <w:lang w:eastAsia="es-CO"/>
                <w14:ligatures w14:val="none"/>
              </w:rPr>
            </w:pPr>
            <w:r w:rsidRPr="00144B9A">
              <w:rPr>
                <w:rFonts w:ascii="Verdana" w:eastAsia="Times New Roman" w:hAnsi="Verdana" w:cs="Arial"/>
                <w:bCs/>
                <w:color w:val="000000"/>
                <w:kern w:val="0"/>
                <w:sz w:val="16"/>
                <w:szCs w:val="16"/>
                <w:lang w:eastAsia="es-CO"/>
                <w14:ligatures w14:val="none"/>
              </w:rPr>
              <w:t>D</w:t>
            </w:r>
          </w:p>
        </w:tc>
      </w:tr>
      <w:tr w:rsidR="002B3025" w:rsidRPr="002B3025" w14:paraId="428D78E8" w14:textId="77777777" w:rsidTr="00E068B9">
        <w:trPr>
          <w:trHeight w:val="270"/>
        </w:trPr>
        <w:tc>
          <w:tcPr>
            <w:tcW w:w="2051" w:type="dxa"/>
            <w:noWrap/>
            <w:vAlign w:val="bottom"/>
          </w:tcPr>
          <w:p w14:paraId="6879E371" w14:textId="77777777" w:rsidR="002B3025" w:rsidRPr="00144B9A" w:rsidRDefault="002B3025" w:rsidP="00E068B9">
            <w:pPr>
              <w:spacing w:after="0" w:line="240" w:lineRule="auto"/>
              <w:jc w:val="center"/>
              <w:rPr>
                <w:rFonts w:ascii="Verdana" w:eastAsia="Times New Roman" w:hAnsi="Verdana" w:cs="Arial"/>
                <w:bCs/>
                <w:color w:val="000000"/>
                <w:kern w:val="0"/>
                <w:sz w:val="16"/>
                <w:szCs w:val="16"/>
                <w:lang w:eastAsia="es-CO"/>
                <w14:ligatures w14:val="none"/>
              </w:rPr>
            </w:pPr>
            <w:r w:rsidRPr="00144B9A">
              <w:rPr>
                <w:rFonts w:ascii="Verdana" w:eastAsia="Times New Roman" w:hAnsi="Verdana" w:cs="Arial"/>
                <w:bCs/>
                <w:color w:val="000000"/>
                <w:kern w:val="0"/>
                <w:sz w:val="16"/>
                <w:szCs w:val="16"/>
                <w:lang w:eastAsia="es-CO"/>
                <w14:ligatures w14:val="none"/>
              </w:rPr>
              <w:t>E</w:t>
            </w:r>
          </w:p>
        </w:tc>
        <w:tc>
          <w:tcPr>
            <w:tcW w:w="1985" w:type="dxa"/>
            <w:noWrap/>
            <w:vAlign w:val="bottom"/>
          </w:tcPr>
          <w:p w14:paraId="271743B7" w14:textId="77777777" w:rsidR="002B3025" w:rsidRPr="00144B9A" w:rsidRDefault="002B3025" w:rsidP="00E068B9">
            <w:pPr>
              <w:spacing w:after="0" w:line="240" w:lineRule="auto"/>
              <w:jc w:val="center"/>
              <w:rPr>
                <w:rFonts w:ascii="Verdana" w:eastAsia="Times New Roman" w:hAnsi="Verdana" w:cs="Arial"/>
                <w:bCs/>
                <w:color w:val="000000"/>
                <w:kern w:val="0"/>
                <w:sz w:val="16"/>
                <w:szCs w:val="16"/>
                <w:lang w:eastAsia="es-CO"/>
                <w14:ligatures w14:val="none"/>
              </w:rPr>
            </w:pPr>
            <w:r w:rsidRPr="00144B9A">
              <w:rPr>
                <w:rFonts w:ascii="Verdana" w:eastAsia="Times New Roman" w:hAnsi="Verdana" w:cs="Arial"/>
                <w:bCs/>
                <w:color w:val="000000"/>
                <w:kern w:val="0"/>
                <w:sz w:val="16"/>
                <w:szCs w:val="16"/>
                <w:lang w:eastAsia="es-CO"/>
                <w14:ligatures w14:val="none"/>
              </w:rPr>
              <w:t>E</w:t>
            </w:r>
          </w:p>
        </w:tc>
      </w:tr>
    </w:tbl>
    <w:p w14:paraId="48642350" w14:textId="77777777" w:rsidR="002B3025" w:rsidRPr="002B3025" w:rsidRDefault="002B3025" w:rsidP="00B929BB">
      <w:pPr>
        <w:tabs>
          <w:tab w:val="left" w:pos="284"/>
        </w:tabs>
        <w:ind w:left="284" w:hanging="284"/>
        <w:jc w:val="both"/>
        <w:rPr>
          <w:rFonts w:ascii="Verdana" w:hAnsi="Verdana" w:cs="Arial"/>
          <w:bCs/>
          <w:sz w:val="20"/>
          <w:szCs w:val="20"/>
        </w:rPr>
      </w:pPr>
    </w:p>
    <w:p w14:paraId="2CF5A3B5" w14:textId="3E07F5C6" w:rsidR="007C4633" w:rsidRPr="001C6CAB" w:rsidRDefault="007C4633" w:rsidP="007C4633">
      <w:pPr>
        <w:spacing w:after="0"/>
        <w:rPr>
          <w:rFonts w:ascii="Verdana" w:hAnsi="Verdana"/>
          <w:sz w:val="20"/>
          <w:szCs w:val="20"/>
        </w:rPr>
      </w:pPr>
      <w:r w:rsidRPr="001C6CAB">
        <w:rPr>
          <w:rFonts w:ascii="Verdana" w:hAnsi="Verdana"/>
          <w:sz w:val="20"/>
          <w:szCs w:val="20"/>
        </w:rPr>
        <w:t>1.1.3.</w:t>
      </w:r>
      <w:r w:rsidR="00412DEF">
        <w:rPr>
          <w:rFonts w:ascii="Verdana" w:hAnsi="Verdana"/>
          <w:sz w:val="20"/>
          <w:szCs w:val="20"/>
        </w:rPr>
        <w:t>57</w:t>
      </w:r>
      <w:r w:rsidRPr="001C6CAB">
        <w:rPr>
          <w:rFonts w:ascii="Verdana" w:hAnsi="Verdana"/>
          <w:sz w:val="20"/>
          <w:szCs w:val="20"/>
        </w:rPr>
        <w:t>.</w:t>
      </w:r>
    </w:p>
    <w:p w14:paraId="44AB9565" w14:textId="459911B2" w:rsidR="002B3025" w:rsidRPr="002B3025" w:rsidRDefault="002B3025" w:rsidP="00B929BB">
      <w:pPr>
        <w:jc w:val="both"/>
        <w:rPr>
          <w:rFonts w:ascii="Verdana" w:hAnsi="Verdana" w:cs="Arial"/>
          <w:bCs/>
          <w:sz w:val="20"/>
          <w:szCs w:val="20"/>
        </w:rPr>
      </w:pPr>
      <w:r w:rsidRPr="002B3025">
        <w:rPr>
          <w:rFonts w:ascii="Verdana" w:hAnsi="Verdana" w:cs="Arial"/>
          <w:bCs/>
          <w:sz w:val="20"/>
          <w:szCs w:val="20"/>
        </w:rPr>
        <w:t>Cuando en virtud de la implementación del modelo de referencia adoptado por la SFC la entidad califique a sus clientes como incumplidos, éstos deben ser homologados de la siguiente manera:</w:t>
      </w:r>
    </w:p>
    <w:p w14:paraId="5E24DF4F" w14:textId="77777777" w:rsidR="002B3025" w:rsidRPr="007C4633" w:rsidRDefault="002B3025" w:rsidP="00634E67">
      <w:pPr>
        <w:pStyle w:val="Prrafodelista"/>
        <w:numPr>
          <w:ilvl w:val="0"/>
          <w:numId w:val="12"/>
        </w:numPr>
        <w:ind w:left="567" w:hanging="567"/>
        <w:jc w:val="both"/>
        <w:rPr>
          <w:rFonts w:ascii="Verdana" w:hAnsi="Verdana" w:cs="Arial"/>
          <w:bCs/>
          <w:sz w:val="20"/>
          <w:szCs w:val="20"/>
        </w:rPr>
      </w:pPr>
      <w:r w:rsidRPr="007C4633">
        <w:rPr>
          <w:rFonts w:ascii="Verdana" w:hAnsi="Verdana" w:cs="Arial"/>
          <w:bCs/>
          <w:sz w:val="20"/>
          <w:szCs w:val="20"/>
        </w:rPr>
        <w:t>Calificación agrupada E = Aquellos clientes incumplidos cuya PDI asignada sea igual a 100%.</w:t>
      </w:r>
    </w:p>
    <w:p w14:paraId="378E17A8" w14:textId="77777777" w:rsidR="00BB28C7" w:rsidRDefault="00BB28C7" w:rsidP="00BB28C7">
      <w:pPr>
        <w:pStyle w:val="Prrafodelista"/>
        <w:ind w:left="567"/>
        <w:jc w:val="both"/>
        <w:rPr>
          <w:rFonts w:ascii="Verdana" w:hAnsi="Verdana" w:cs="Arial"/>
          <w:bCs/>
          <w:sz w:val="20"/>
          <w:szCs w:val="20"/>
        </w:rPr>
      </w:pPr>
    </w:p>
    <w:p w14:paraId="4797CD63" w14:textId="21904AB0" w:rsidR="002B3025" w:rsidRPr="007C4633" w:rsidRDefault="002B3025" w:rsidP="00634E67">
      <w:pPr>
        <w:pStyle w:val="Prrafodelista"/>
        <w:numPr>
          <w:ilvl w:val="0"/>
          <w:numId w:val="12"/>
        </w:numPr>
        <w:ind w:left="567" w:hanging="567"/>
        <w:jc w:val="both"/>
        <w:rPr>
          <w:rFonts w:ascii="Verdana" w:hAnsi="Verdana" w:cs="Arial"/>
          <w:bCs/>
          <w:sz w:val="20"/>
          <w:szCs w:val="20"/>
        </w:rPr>
      </w:pPr>
      <w:r w:rsidRPr="007C4633">
        <w:rPr>
          <w:rFonts w:ascii="Verdana" w:hAnsi="Verdana" w:cs="Arial"/>
          <w:bCs/>
          <w:sz w:val="20"/>
          <w:szCs w:val="20"/>
        </w:rPr>
        <w:t>Calificación agrupada D = Los demás clientes calificados como incumplidos.</w:t>
      </w:r>
    </w:p>
    <w:p w14:paraId="7F96FBB5" w14:textId="212A4F25" w:rsidR="002A5F76" w:rsidRPr="001C6CAB" w:rsidRDefault="002A5F76" w:rsidP="002A5F76">
      <w:pPr>
        <w:spacing w:after="0"/>
        <w:rPr>
          <w:rFonts w:ascii="Verdana" w:hAnsi="Verdana"/>
          <w:sz w:val="20"/>
          <w:szCs w:val="20"/>
        </w:rPr>
      </w:pPr>
      <w:r w:rsidRPr="001C6CAB">
        <w:rPr>
          <w:rFonts w:ascii="Verdana" w:hAnsi="Verdana"/>
          <w:sz w:val="20"/>
          <w:szCs w:val="20"/>
        </w:rPr>
        <w:t>1.1.3.</w:t>
      </w:r>
      <w:r w:rsidR="00412DEF">
        <w:rPr>
          <w:rFonts w:ascii="Verdana" w:hAnsi="Verdana"/>
          <w:sz w:val="20"/>
          <w:szCs w:val="20"/>
        </w:rPr>
        <w:t>58</w:t>
      </w:r>
      <w:r w:rsidRPr="001C6CAB">
        <w:rPr>
          <w:rFonts w:ascii="Verdana" w:hAnsi="Verdana"/>
          <w:sz w:val="20"/>
          <w:szCs w:val="20"/>
        </w:rPr>
        <w:t>.</w:t>
      </w:r>
    </w:p>
    <w:p w14:paraId="24FDA340" w14:textId="634AA6AA" w:rsidR="002B3025" w:rsidRPr="00BB28C7" w:rsidRDefault="002B3025" w:rsidP="00BB28C7">
      <w:pPr>
        <w:ind w:left="284" w:hanging="284"/>
        <w:jc w:val="both"/>
        <w:rPr>
          <w:rFonts w:ascii="Verdana" w:hAnsi="Verdana" w:cs="Arial"/>
          <w:bCs/>
          <w:sz w:val="20"/>
          <w:szCs w:val="20"/>
        </w:rPr>
      </w:pPr>
      <w:r w:rsidRPr="002B3025">
        <w:rPr>
          <w:rFonts w:ascii="Verdana" w:hAnsi="Verdana" w:cs="Arial"/>
          <w:bCs/>
          <w:sz w:val="20"/>
          <w:szCs w:val="20"/>
        </w:rPr>
        <w:t>Cartera de Consumo:</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256"/>
        <w:gridCol w:w="2551"/>
      </w:tblGrid>
      <w:tr w:rsidR="002B3025" w:rsidRPr="002B3025" w14:paraId="3042AE7C" w14:textId="77777777" w:rsidTr="00144B9A">
        <w:trPr>
          <w:trHeight w:val="237"/>
          <w:jc w:val="center"/>
        </w:trPr>
        <w:tc>
          <w:tcPr>
            <w:tcW w:w="5807" w:type="dxa"/>
            <w:gridSpan w:val="2"/>
            <w:shd w:val="clear" w:color="auto" w:fill="D1D1D1" w:themeFill="background2" w:themeFillShade="E6"/>
            <w:tcMar>
              <w:top w:w="0" w:type="dxa"/>
              <w:left w:w="70" w:type="dxa"/>
              <w:bottom w:w="0" w:type="dxa"/>
              <w:right w:w="70" w:type="dxa"/>
            </w:tcMar>
            <w:vAlign w:val="bottom"/>
          </w:tcPr>
          <w:p w14:paraId="316CA6AB" w14:textId="77777777" w:rsidR="002B3025" w:rsidRPr="00C60907" w:rsidRDefault="002B3025" w:rsidP="00BB28C7">
            <w:pPr>
              <w:spacing w:after="0" w:line="240" w:lineRule="auto"/>
              <w:jc w:val="center"/>
              <w:rPr>
                <w:rFonts w:ascii="Verdana" w:eastAsia="Times New Roman" w:hAnsi="Verdana" w:cs="Arial"/>
                <w:b/>
                <w:color w:val="000000"/>
                <w:kern w:val="0"/>
                <w:sz w:val="16"/>
                <w:szCs w:val="16"/>
                <w:lang w:eastAsia="es-CO"/>
                <w14:ligatures w14:val="none"/>
              </w:rPr>
            </w:pPr>
            <w:r w:rsidRPr="00C60907">
              <w:rPr>
                <w:rFonts w:ascii="Verdana" w:eastAsia="Times New Roman" w:hAnsi="Verdana" w:cs="Arial"/>
                <w:b/>
                <w:color w:val="000000"/>
                <w:kern w:val="0"/>
                <w:sz w:val="16"/>
                <w:szCs w:val="16"/>
                <w:lang w:eastAsia="es-CO"/>
                <w14:ligatures w14:val="none"/>
              </w:rPr>
              <w:t>Agregación categorías reportadas</w:t>
            </w:r>
          </w:p>
        </w:tc>
      </w:tr>
      <w:tr w:rsidR="002B3025" w:rsidRPr="002B3025" w14:paraId="6A1ACE76" w14:textId="77777777" w:rsidTr="00144B9A">
        <w:trPr>
          <w:trHeight w:val="229"/>
          <w:jc w:val="center"/>
        </w:trPr>
        <w:tc>
          <w:tcPr>
            <w:tcW w:w="3256" w:type="dxa"/>
            <w:shd w:val="clear" w:color="auto" w:fill="D1D1D1" w:themeFill="background2" w:themeFillShade="E6"/>
            <w:tcMar>
              <w:top w:w="0" w:type="dxa"/>
              <w:left w:w="70" w:type="dxa"/>
              <w:bottom w:w="0" w:type="dxa"/>
              <w:right w:w="70" w:type="dxa"/>
            </w:tcMar>
            <w:vAlign w:val="center"/>
          </w:tcPr>
          <w:p w14:paraId="092CA603" w14:textId="77777777" w:rsidR="002B3025" w:rsidRPr="00C60907" w:rsidRDefault="002B3025" w:rsidP="00BB28C7">
            <w:pPr>
              <w:spacing w:after="0" w:line="240" w:lineRule="auto"/>
              <w:jc w:val="center"/>
              <w:rPr>
                <w:rFonts w:ascii="Verdana" w:eastAsia="Times New Roman" w:hAnsi="Verdana" w:cs="Arial"/>
                <w:b/>
                <w:color w:val="000000"/>
                <w:kern w:val="0"/>
                <w:sz w:val="16"/>
                <w:szCs w:val="16"/>
                <w:lang w:eastAsia="es-CO"/>
                <w14:ligatures w14:val="none"/>
              </w:rPr>
            </w:pPr>
            <w:r w:rsidRPr="00C60907">
              <w:rPr>
                <w:rFonts w:ascii="Verdana" w:eastAsia="Times New Roman" w:hAnsi="Verdana" w:cs="Arial"/>
                <w:b/>
                <w:color w:val="000000"/>
                <w:kern w:val="0"/>
                <w:sz w:val="16"/>
                <w:szCs w:val="16"/>
                <w:lang w:eastAsia="es-CO"/>
                <w14:ligatures w14:val="none"/>
              </w:rPr>
              <w:t>Categoría de reporte</w:t>
            </w:r>
          </w:p>
        </w:tc>
        <w:tc>
          <w:tcPr>
            <w:tcW w:w="2551" w:type="dxa"/>
            <w:shd w:val="clear" w:color="auto" w:fill="D1D1D1" w:themeFill="background2" w:themeFillShade="E6"/>
            <w:tcMar>
              <w:top w:w="0" w:type="dxa"/>
              <w:left w:w="70" w:type="dxa"/>
              <w:bottom w:w="0" w:type="dxa"/>
              <w:right w:w="70" w:type="dxa"/>
            </w:tcMar>
            <w:vAlign w:val="center"/>
          </w:tcPr>
          <w:p w14:paraId="10E98833" w14:textId="77777777" w:rsidR="002B3025" w:rsidRPr="00C60907" w:rsidRDefault="002B3025" w:rsidP="00BB28C7">
            <w:pPr>
              <w:spacing w:after="0" w:line="240" w:lineRule="auto"/>
              <w:jc w:val="center"/>
              <w:rPr>
                <w:rFonts w:ascii="Verdana" w:eastAsia="Times New Roman" w:hAnsi="Verdana" w:cs="Arial"/>
                <w:b/>
                <w:color w:val="000000"/>
                <w:kern w:val="0"/>
                <w:sz w:val="16"/>
                <w:szCs w:val="16"/>
                <w:lang w:eastAsia="es-CO"/>
                <w14:ligatures w14:val="none"/>
              </w:rPr>
            </w:pPr>
            <w:r w:rsidRPr="00C60907">
              <w:rPr>
                <w:rFonts w:ascii="Verdana" w:eastAsia="Times New Roman" w:hAnsi="Verdana" w:cs="Arial"/>
                <w:b/>
                <w:color w:val="000000"/>
                <w:kern w:val="0"/>
                <w:sz w:val="16"/>
                <w:szCs w:val="16"/>
                <w:lang w:eastAsia="es-CO"/>
                <w14:ligatures w14:val="none"/>
              </w:rPr>
              <w:t>Categoría agrupada</w:t>
            </w:r>
          </w:p>
        </w:tc>
      </w:tr>
      <w:tr w:rsidR="002B3025" w:rsidRPr="002B3025" w14:paraId="180F3AC2" w14:textId="77777777" w:rsidTr="00144B9A">
        <w:trPr>
          <w:trHeight w:val="270"/>
          <w:jc w:val="center"/>
        </w:trPr>
        <w:tc>
          <w:tcPr>
            <w:tcW w:w="3256" w:type="dxa"/>
            <w:noWrap/>
            <w:tcMar>
              <w:top w:w="0" w:type="dxa"/>
              <w:left w:w="70" w:type="dxa"/>
              <w:bottom w:w="0" w:type="dxa"/>
              <w:right w:w="70" w:type="dxa"/>
            </w:tcMar>
            <w:vAlign w:val="center"/>
          </w:tcPr>
          <w:p w14:paraId="216F7F14" w14:textId="77777777" w:rsidR="002B3025" w:rsidRPr="00C60907" w:rsidRDefault="002B3025" w:rsidP="00BB28C7">
            <w:pPr>
              <w:spacing w:after="0" w:line="240" w:lineRule="auto"/>
              <w:jc w:val="center"/>
              <w:rPr>
                <w:rFonts w:ascii="Verdana" w:eastAsia="Times New Roman" w:hAnsi="Verdana" w:cs="Arial"/>
                <w:bCs/>
                <w:color w:val="000000"/>
                <w:kern w:val="0"/>
                <w:sz w:val="16"/>
                <w:szCs w:val="16"/>
                <w:lang w:eastAsia="es-CO"/>
                <w14:ligatures w14:val="none"/>
              </w:rPr>
            </w:pPr>
            <w:r w:rsidRPr="00C60907">
              <w:rPr>
                <w:rFonts w:ascii="Verdana" w:eastAsia="Times New Roman" w:hAnsi="Verdana" w:cs="Arial"/>
                <w:bCs/>
                <w:color w:val="000000"/>
                <w:kern w:val="0"/>
                <w:sz w:val="16"/>
                <w:szCs w:val="16"/>
                <w:lang w:eastAsia="es-CO"/>
                <w14:ligatures w14:val="none"/>
              </w:rPr>
              <w:t>AA</w:t>
            </w:r>
          </w:p>
        </w:tc>
        <w:tc>
          <w:tcPr>
            <w:tcW w:w="2551" w:type="dxa"/>
            <w:noWrap/>
            <w:tcMar>
              <w:top w:w="0" w:type="dxa"/>
              <w:left w:w="70" w:type="dxa"/>
              <w:bottom w:w="0" w:type="dxa"/>
              <w:right w:w="70" w:type="dxa"/>
            </w:tcMar>
            <w:vAlign w:val="center"/>
          </w:tcPr>
          <w:p w14:paraId="4D6ADF8E" w14:textId="77777777" w:rsidR="002B3025" w:rsidRPr="00C60907" w:rsidRDefault="002B3025" w:rsidP="00BB28C7">
            <w:pPr>
              <w:spacing w:after="0" w:line="240" w:lineRule="auto"/>
              <w:jc w:val="center"/>
              <w:rPr>
                <w:rFonts w:ascii="Verdana" w:eastAsia="Times New Roman" w:hAnsi="Verdana" w:cs="Arial"/>
                <w:bCs/>
                <w:color w:val="000000"/>
                <w:kern w:val="0"/>
                <w:sz w:val="16"/>
                <w:szCs w:val="16"/>
                <w:lang w:eastAsia="es-CO"/>
                <w14:ligatures w14:val="none"/>
              </w:rPr>
            </w:pPr>
            <w:r w:rsidRPr="00C60907">
              <w:rPr>
                <w:rFonts w:ascii="Verdana" w:eastAsia="Times New Roman" w:hAnsi="Verdana" w:cs="Arial"/>
                <w:bCs/>
                <w:color w:val="000000"/>
                <w:kern w:val="0"/>
                <w:sz w:val="16"/>
                <w:szCs w:val="16"/>
                <w:lang w:eastAsia="es-CO"/>
                <w14:ligatures w14:val="none"/>
              </w:rPr>
              <w:t>A</w:t>
            </w:r>
          </w:p>
        </w:tc>
      </w:tr>
      <w:tr w:rsidR="002B3025" w:rsidRPr="002B3025" w14:paraId="1B9A7628" w14:textId="77777777" w:rsidTr="00144B9A">
        <w:trPr>
          <w:trHeight w:val="270"/>
          <w:jc w:val="center"/>
        </w:trPr>
        <w:tc>
          <w:tcPr>
            <w:tcW w:w="3256" w:type="dxa"/>
            <w:noWrap/>
            <w:tcMar>
              <w:top w:w="0" w:type="dxa"/>
              <w:left w:w="70" w:type="dxa"/>
              <w:bottom w:w="0" w:type="dxa"/>
              <w:right w:w="70" w:type="dxa"/>
            </w:tcMar>
            <w:vAlign w:val="center"/>
          </w:tcPr>
          <w:p w14:paraId="1B4DD4BC" w14:textId="77777777" w:rsidR="002B3025" w:rsidRPr="00C60907" w:rsidRDefault="002B3025" w:rsidP="00BB28C7">
            <w:pPr>
              <w:spacing w:after="0" w:line="240" w:lineRule="auto"/>
              <w:jc w:val="center"/>
              <w:rPr>
                <w:rFonts w:ascii="Verdana" w:eastAsia="Times New Roman" w:hAnsi="Verdana" w:cs="Arial"/>
                <w:bCs/>
                <w:color w:val="000000"/>
                <w:kern w:val="0"/>
                <w:sz w:val="16"/>
                <w:szCs w:val="16"/>
                <w:lang w:eastAsia="es-CO"/>
                <w14:ligatures w14:val="none"/>
              </w:rPr>
            </w:pPr>
            <w:r w:rsidRPr="00C60907">
              <w:rPr>
                <w:rFonts w:ascii="Verdana" w:eastAsia="Times New Roman" w:hAnsi="Verdana" w:cs="Arial"/>
                <w:bCs/>
                <w:color w:val="000000"/>
                <w:kern w:val="0"/>
                <w:sz w:val="16"/>
                <w:szCs w:val="16"/>
                <w:lang w:eastAsia="es-CO"/>
                <w14:ligatures w14:val="none"/>
              </w:rPr>
              <w:t>A con mora actual entre 0-30 días</w:t>
            </w:r>
          </w:p>
        </w:tc>
        <w:tc>
          <w:tcPr>
            <w:tcW w:w="2551" w:type="dxa"/>
            <w:noWrap/>
            <w:tcMar>
              <w:top w:w="0" w:type="dxa"/>
              <w:left w:w="70" w:type="dxa"/>
              <w:bottom w:w="0" w:type="dxa"/>
              <w:right w:w="70" w:type="dxa"/>
            </w:tcMar>
            <w:vAlign w:val="center"/>
          </w:tcPr>
          <w:p w14:paraId="13E6E2E0" w14:textId="77777777" w:rsidR="002B3025" w:rsidRPr="00C60907" w:rsidRDefault="002B3025" w:rsidP="00BB28C7">
            <w:pPr>
              <w:spacing w:after="0" w:line="240" w:lineRule="auto"/>
              <w:jc w:val="center"/>
              <w:rPr>
                <w:rFonts w:ascii="Verdana" w:eastAsia="Times New Roman" w:hAnsi="Verdana" w:cs="Arial"/>
                <w:bCs/>
                <w:color w:val="000000"/>
                <w:kern w:val="0"/>
                <w:sz w:val="16"/>
                <w:szCs w:val="16"/>
                <w:lang w:eastAsia="es-CO"/>
                <w14:ligatures w14:val="none"/>
              </w:rPr>
            </w:pPr>
            <w:r w:rsidRPr="00C60907">
              <w:rPr>
                <w:rFonts w:ascii="Verdana" w:eastAsia="Times New Roman" w:hAnsi="Verdana" w:cs="Arial"/>
                <w:bCs/>
                <w:color w:val="000000"/>
                <w:kern w:val="0"/>
                <w:sz w:val="16"/>
                <w:szCs w:val="16"/>
                <w:lang w:eastAsia="es-CO"/>
                <w14:ligatures w14:val="none"/>
              </w:rPr>
              <w:t>A</w:t>
            </w:r>
          </w:p>
        </w:tc>
      </w:tr>
      <w:tr w:rsidR="002B3025" w:rsidRPr="002B3025" w14:paraId="61AED4EB" w14:textId="77777777" w:rsidTr="00144B9A">
        <w:trPr>
          <w:trHeight w:val="255"/>
          <w:jc w:val="center"/>
        </w:trPr>
        <w:tc>
          <w:tcPr>
            <w:tcW w:w="3256" w:type="dxa"/>
            <w:noWrap/>
            <w:tcMar>
              <w:top w:w="0" w:type="dxa"/>
              <w:left w:w="70" w:type="dxa"/>
              <w:bottom w:w="0" w:type="dxa"/>
              <w:right w:w="70" w:type="dxa"/>
            </w:tcMar>
            <w:vAlign w:val="center"/>
          </w:tcPr>
          <w:p w14:paraId="0FB39AA6" w14:textId="77777777" w:rsidR="002B3025" w:rsidRPr="00C60907" w:rsidRDefault="002B3025" w:rsidP="00BB28C7">
            <w:pPr>
              <w:spacing w:after="0" w:line="240" w:lineRule="auto"/>
              <w:jc w:val="center"/>
              <w:rPr>
                <w:rFonts w:ascii="Verdana" w:eastAsia="Times New Roman" w:hAnsi="Verdana" w:cs="Arial"/>
                <w:bCs/>
                <w:color w:val="000000"/>
                <w:kern w:val="0"/>
                <w:sz w:val="16"/>
                <w:szCs w:val="16"/>
                <w:lang w:eastAsia="es-CO"/>
                <w14:ligatures w14:val="none"/>
              </w:rPr>
            </w:pPr>
            <w:r w:rsidRPr="00C60907">
              <w:rPr>
                <w:rFonts w:ascii="Verdana" w:eastAsia="Times New Roman" w:hAnsi="Verdana" w:cs="Arial"/>
                <w:bCs/>
                <w:color w:val="000000"/>
                <w:kern w:val="0"/>
                <w:sz w:val="16"/>
                <w:szCs w:val="16"/>
                <w:lang w:eastAsia="es-CO"/>
                <w14:ligatures w14:val="none"/>
              </w:rPr>
              <w:t>A con mora actual mayor a 30 días</w:t>
            </w:r>
          </w:p>
        </w:tc>
        <w:tc>
          <w:tcPr>
            <w:tcW w:w="2551" w:type="dxa"/>
            <w:noWrap/>
            <w:tcMar>
              <w:top w:w="0" w:type="dxa"/>
              <w:left w:w="70" w:type="dxa"/>
              <w:bottom w:w="0" w:type="dxa"/>
              <w:right w:w="70" w:type="dxa"/>
            </w:tcMar>
            <w:vAlign w:val="center"/>
          </w:tcPr>
          <w:p w14:paraId="78409C08" w14:textId="77777777" w:rsidR="002B3025" w:rsidRPr="00C60907" w:rsidRDefault="002B3025" w:rsidP="00BB28C7">
            <w:pPr>
              <w:spacing w:after="0" w:line="240" w:lineRule="auto"/>
              <w:jc w:val="center"/>
              <w:rPr>
                <w:rFonts w:ascii="Verdana" w:eastAsia="Times New Roman" w:hAnsi="Verdana" w:cs="Arial"/>
                <w:bCs/>
                <w:color w:val="000000"/>
                <w:kern w:val="0"/>
                <w:sz w:val="16"/>
                <w:szCs w:val="16"/>
                <w:lang w:eastAsia="es-CO"/>
                <w14:ligatures w14:val="none"/>
              </w:rPr>
            </w:pPr>
            <w:r w:rsidRPr="00C60907">
              <w:rPr>
                <w:rFonts w:ascii="Verdana" w:eastAsia="Times New Roman" w:hAnsi="Verdana" w:cs="Arial"/>
                <w:bCs/>
                <w:color w:val="000000"/>
                <w:kern w:val="0"/>
                <w:sz w:val="16"/>
                <w:szCs w:val="16"/>
                <w:lang w:eastAsia="es-CO"/>
                <w14:ligatures w14:val="none"/>
              </w:rPr>
              <w:t>B</w:t>
            </w:r>
          </w:p>
        </w:tc>
      </w:tr>
      <w:tr w:rsidR="002B3025" w:rsidRPr="002B3025" w14:paraId="3EB54576" w14:textId="77777777" w:rsidTr="00144B9A">
        <w:trPr>
          <w:trHeight w:val="270"/>
          <w:jc w:val="center"/>
        </w:trPr>
        <w:tc>
          <w:tcPr>
            <w:tcW w:w="3256" w:type="dxa"/>
            <w:noWrap/>
            <w:tcMar>
              <w:top w:w="0" w:type="dxa"/>
              <w:left w:w="70" w:type="dxa"/>
              <w:bottom w:w="0" w:type="dxa"/>
              <w:right w:w="70" w:type="dxa"/>
            </w:tcMar>
            <w:vAlign w:val="center"/>
          </w:tcPr>
          <w:p w14:paraId="0B2B1883" w14:textId="77777777" w:rsidR="002B3025" w:rsidRPr="00C60907" w:rsidRDefault="002B3025" w:rsidP="00BB28C7">
            <w:pPr>
              <w:spacing w:after="0" w:line="240" w:lineRule="auto"/>
              <w:jc w:val="center"/>
              <w:rPr>
                <w:rFonts w:ascii="Verdana" w:eastAsia="Times New Roman" w:hAnsi="Verdana" w:cs="Arial"/>
                <w:bCs/>
                <w:color w:val="000000"/>
                <w:kern w:val="0"/>
                <w:sz w:val="16"/>
                <w:szCs w:val="16"/>
                <w:lang w:eastAsia="es-CO"/>
                <w14:ligatures w14:val="none"/>
              </w:rPr>
            </w:pPr>
            <w:r w:rsidRPr="00C60907">
              <w:rPr>
                <w:rFonts w:ascii="Verdana" w:eastAsia="Times New Roman" w:hAnsi="Verdana" w:cs="Arial"/>
                <w:bCs/>
                <w:color w:val="000000"/>
                <w:kern w:val="0"/>
                <w:sz w:val="16"/>
                <w:szCs w:val="16"/>
                <w:lang w:eastAsia="es-CO"/>
                <w14:ligatures w14:val="none"/>
              </w:rPr>
              <w:t>BB</w:t>
            </w:r>
          </w:p>
        </w:tc>
        <w:tc>
          <w:tcPr>
            <w:tcW w:w="2551" w:type="dxa"/>
            <w:noWrap/>
            <w:tcMar>
              <w:top w:w="0" w:type="dxa"/>
              <w:left w:w="70" w:type="dxa"/>
              <w:bottom w:w="0" w:type="dxa"/>
              <w:right w:w="70" w:type="dxa"/>
            </w:tcMar>
            <w:vAlign w:val="center"/>
          </w:tcPr>
          <w:p w14:paraId="0F58049A" w14:textId="77777777" w:rsidR="002B3025" w:rsidRPr="00C60907" w:rsidRDefault="002B3025" w:rsidP="00BB28C7">
            <w:pPr>
              <w:spacing w:after="0" w:line="240" w:lineRule="auto"/>
              <w:jc w:val="center"/>
              <w:rPr>
                <w:rFonts w:ascii="Verdana" w:eastAsia="Times New Roman" w:hAnsi="Verdana" w:cs="Arial"/>
                <w:bCs/>
                <w:color w:val="000000"/>
                <w:kern w:val="0"/>
                <w:sz w:val="16"/>
                <w:szCs w:val="16"/>
                <w:lang w:eastAsia="es-CO"/>
                <w14:ligatures w14:val="none"/>
              </w:rPr>
            </w:pPr>
            <w:r w:rsidRPr="00C60907">
              <w:rPr>
                <w:rFonts w:ascii="Verdana" w:eastAsia="Times New Roman" w:hAnsi="Verdana" w:cs="Arial"/>
                <w:bCs/>
                <w:color w:val="000000"/>
                <w:kern w:val="0"/>
                <w:sz w:val="16"/>
                <w:szCs w:val="16"/>
                <w:lang w:eastAsia="es-CO"/>
                <w14:ligatures w14:val="none"/>
              </w:rPr>
              <w:t>B</w:t>
            </w:r>
          </w:p>
        </w:tc>
      </w:tr>
      <w:tr w:rsidR="002B3025" w:rsidRPr="002B3025" w14:paraId="6A19BFE1" w14:textId="77777777" w:rsidTr="00144B9A">
        <w:trPr>
          <w:trHeight w:val="255"/>
          <w:jc w:val="center"/>
        </w:trPr>
        <w:tc>
          <w:tcPr>
            <w:tcW w:w="3256" w:type="dxa"/>
            <w:noWrap/>
            <w:tcMar>
              <w:top w:w="0" w:type="dxa"/>
              <w:left w:w="70" w:type="dxa"/>
              <w:bottom w:w="0" w:type="dxa"/>
              <w:right w:w="70" w:type="dxa"/>
            </w:tcMar>
            <w:vAlign w:val="center"/>
          </w:tcPr>
          <w:p w14:paraId="4B369E94" w14:textId="77777777" w:rsidR="002B3025" w:rsidRPr="00C60907" w:rsidRDefault="002B3025" w:rsidP="00BB28C7">
            <w:pPr>
              <w:spacing w:after="0" w:line="240" w:lineRule="auto"/>
              <w:jc w:val="center"/>
              <w:rPr>
                <w:rFonts w:ascii="Verdana" w:eastAsia="Times New Roman" w:hAnsi="Verdana" w:cs="Arial"/>
                <w:bCs/>
                <w:color w:val="000000"/>
                <w:kern w:val="0"/>
                <w:sz w:val="16"/>
                <w:szCs w:val="16"/>
                <w:lang w:eastAsia="es-CO"/>
                <w14:ligatures w14:val="none"/>
              </w:rPr>
            </w:pPr>
            <w:r w:rsidRPr="00C60907">
              <w:rPr>
                <w:rFonts w:ascii="Verdana" w:eastAsia="Times New Roman" w:hAnsi="Verdana" w:cs="Arial"/>
                <w:bCs/>
                <w:color w:val="000000"/>
                <w:kern w:val="0"/>
                <w:sz w:val="16"/>
                <w:szCs w:val="16"/>
                <w:lang w:eastAsia="es-CO"/>
                <w14:ligatures w14:val="none"/>
              </w:rPr>
              <w:t>B</w:t>
            </w:r>
          </w:p>
        </w:tc>
        <w:tc>
          <w:tcPr>
            <w:tcW w:w="2551" w:type="dxa"/>
            <w:noWrap/>
            <w:tcMar>
              <w:top w:w="0" w:type="dxa"/>
              <w:left w:w="70" w:type="dxa"/>
              <w:bottom w:w="0" w:type="dxa"/>
              <w:right w:w="70" w:type="dxa"/>
            </w:tcMar>
            <w:vAlign w:val="center"/>
          </w:tcPr>
          <w:p w14:paraId="096E5E06" w14:textId="77777777" w:rsidR="002B3025" w:rsidRPr="00C60907" w:rsidRDefault="002B3025" w:rsidP="00BB28C7">
            <w:pPr>
              <w:spacing w:after="0" w:line="240" w:lineRule="auto"/>
              <w:jc w:val="center"/>
              <w:rPr>
                <w:rFonts w:ascii="Verdana" w:eastAsia="Times New Roman" w:hAnsi="Verdana" w:cs="Arial"/>
                <w:bCs/>
                <w:color w:val="000000"/>
                <w:kern w:val="0"/>
                <w:sz w:val="16"/>
                <w:szCs w:val="16"/>
                <w:lang w:eastAsia="es-CO"/>
                <w14:ligatures w14:val="none"/>
              </w:rPr>
            </w:pPr>
            <w:r w:rsidRPr="00C60907">
              <w:rPr>
                <w:rFonts w:ascii="Verdana" w:eastAsia="Times New Roman" w:hAnsi="Verdana" w:cs="Arial"/>
                <w:bCs/>
                <w:color w:val="000000"/>
                <w:kern w:val="0"/>
                <w:sz w:val="16"/>
                <w:szCs w:val="16"/>
                <w:lang w:eastAsia="es-CO"/>
                <w14:ligatures w14:val="none"/>
              </w:rPr>
              <w:t>C</w:t>
            </w:r>
          </w:p>
        </w:tc>
      </w:tr>
      <w:tr w:rsidR="002B3025" w:rsidRPr="002B3025" w14:paraId="67C62A7D" w14:textId="77777777" w:rsidTr="00144B9A">
        <w:trPr>
          <w:trHeight w:val="255"/>
          <w:jc w:val="center"/>
        </w:trPr>
        <w:tc>
          <w:tcPr>
            <w:tcW w:w="3256" w:type="dxa"/>
            <w:noWrap/>
            <w:tcMar>
              <w:top w:w="0" w:type="dxa"/>
              <w:left w:w="70" w:type="dxa"/>
              <w:bottom w:w="0" w:type="dxa"/>
              <w:right w:w="70" w:type="dxa"/>
            </w:tcMar>
            <w:vAlign w:val="center"/>
          </w:tcPr>
          <w:p w14:paraId="78E30150" w14:textId="77777777" w:rsidR="002B3025" w:rsidRPr="00C60907" w:rsidRDefault="002B3025" w:rsidP="00BB28C7">
            <w:pPr>
              <w:spacing w:after="0" w:line="240" w:lineRule="auto"/>
              <w:jc w:val="center"/>
              <w:rPr>
                <w:rFonts w:ascii="Verdana" w:eastAsia="Times New Roman" w:hAnsi="Verdana" w:cs="Arial"/>
                <w:bCs/>
                <w:color w:val="000000"/>
                <w:kern w:val="0"/>
                <w:sz w:val="16"/>
                <w:szCs w:val="16"/>
                <w:lang w:eastAsia="es-CO"/>
                <w14:ligatures w14:val="none"/>
              </w:rPr>
            </w:pPr>
            <w:r w:rsidRPr="00C60907">
              <w:rPr>
                <w:rFonts w:ascii="Verdana" w:eastAsia="Times New Roman" w:hAnsi="Verdana" w:cs="Arial"/>
                <w:bCs/>
                <w:color w:val="000000"/>
                <w:kern w:val="0"/>
                <w:sz w:val="16"/>
                <w:szCs w:val="16"/>
                <w:lang w:eastAsia="es-CO"/>
                <w14:ligatures w14:val="none"/>
              </w:rPr>
              <w:t>CC</w:t>
            </w:r>
          </w:p>
        </w:tc>
        <w:tc>
          <w:tcPr>
            <w:tcW w:w="2551" w:type="dxa"/>
            <w:noWrap/>
            <w:tcMar>
              <w:top w:w="0" w:type="dxa"/>
              <w:left w:w="70" w:type="dxa"/>
              <w:bottom w:w="0" w:type="dxa"/>
              <w:right w:w="70" w:type="dxa"/>
            </w:tcMar>
            <w:vAlign w:val="center"/>
          </w:tcPr>
          <w:p w14:paraId="37B64D74" w14:textId="77777777" w:rsidR="002B3025" w:rsidRPr="00C60907" w:rsidRDefault="002B3025" w:rsidP="00BB28C7">
            <w:pPr>
              <w:spacing w:after="0" w:line="240" w:lineRule="auto"/>
              <w:jc w:val="center"/>
              <w:rPr>
                <w:rFonts w:ascii="Verdana" w:eastAsia="Times New Roman" w:hAnsi="Verdana" w:cs="Arial"/>
                <w:bCs/>
                <w:color w:val="000000"/>
                <w:kern w:val="0"/>
                <w:sz w:val="16"/>
                <w:szCs w:val="16"/>
                <w:lang w:eastAsia="es-CO"/>
                <w14:ligatures w14:val="none"/>
              </w:rPr>
            </w:pPr>
            <w:r w:rsidRPr="00C60907">
              <w:rPr>
                <w:rFonts w:ascii="Verdana" w:eastAsia="Times New Roman" w:hAnsi="Verdana" w:cs="Arial"/>
                <w:bCs/>
                <w:color w:val="000000"/>
                <w:kern w:val="0"/>
                <w:sz w:val="16"/>
                <w:szCs w:val="16"/>
                <w:lang w:eastAsia="es-CO"/>
                <w14:ligatures w14:val="none"/>
              </w:rPr>
              <w:t>C</w:t>
            </w:r>
          </w:p>
        </w:tc>
      </w:tr>
      <w:tr w:rsidR="002B3025" w:rsidRPr="002B3025" w14:paraId="5795801D" w14:textId="77777777" w:rsidTr="00144B9A">
        <w:trPr>
          <w:trHeight w:val="270"/>
          <w:jc w:val="center"/>
        </w:trPr>
        <w:tc>
          <w:tcPr>
            <w:tcW w:w="3256" w:type="dxa"/>
            <w:noWrap/>
            <w:tcMar>
              <w:top w:w="0" w:type="dxa"/>
              <w:left w:w="70" w:type="dxa"/>
              <w:bottom w:w="0" w:type="dxa"/>
              <w:right w:w="70" w:type="dxa"/>
            </w:tcMar>
            <w:vAlign w:val="center"/>
          </w:tcPr>
          <w:p w14:paraId="3858E4F6" w14:textId="77777777" w:rsidR="002B3025" w:rsidRPr="00C60907" w:rsidRDefault="002B3025" w:rsidP="00BB28C7">
            <w:pPr>
              <w:spacing w:after="0" w:line="240" w:lineRule="auto"/>
              <w:jc w:val="center"/>
              <w:rPr>
                <w:rFonts w:ascii="Verdana" w:eastAsia="Times New Roman" w:hAnsi="Verdana" w:cs="Arial"/>
                <w:bCs/>
                <w:color w:val="000000"/>
                <w:kern w:val="0"/>
                <w:sz w:val="16"/>
                <w:szCs w:val="16"/>
                <w:lang w:eastAsia="es-CO"/>
                <w14:ligatures w14:val="none"/>
              </w:rPr>
            </w:pPr>
            <w:r w:rsidRPr="00C60907">
              <w:rPr>
                <w:rFonts w:ascii="Verdana" w:eastAsia="Times New Roman" w:hAnsi="Verdana" w:cs="Arial"/>
                <w:bCs/>
                <w:color w:val="000000"/>
                <w:kern w:val="0"/>
                <w:sz w:val="16"/>
                <w:szCs w:val="16"/>
                <w:lang w:eastAsia="es-CO"/>
                <w14:ligatures w14:val="none"/>
              </w:rPr>
              <w:t>C</w:t>
            </w:r>
          </w:p>
        </w:tc>
        <w:tc>
          <w:tcPr>
            <w:tcW w:w="2551" w:type="dxa"/>
            <w:noWrap/>
            <w:tcMar>
              <w:top w:w="0" w:type="dxa"/>
              <w:left w:w="70" w:type="dxa"/>
              <w:bottom w:w="0" w:type="dxa"/>
              <w:right w:w="70" w:type="dxa"/>
            </w:tcMar>
            <w:vAlign w:val="center"/>
          </w:tcPr>
          <w:p w14:paraId="45548C41" w14:textId="77777777" w:rsidR="002B3025" w:rsidRPr="00C60907" w:rsidRDefault="002B3025" w:rsidP="00BB28C7">
            <w:pPr>
              <w:spacing w:after="0" w:line="240" w:lineRule="auto"/>
              <w:jc w:val="center"/>
              <w:rPr>
                <w:rFonts w:ascii="Verdana" w:eastAsia="Times New Roman" w:hAnsi="Verdana" w:cs="Arial"/>
                <w:bCs/>
                <w:color w:val="000000"/>
                <w:kern w:val="0"/>
                <w:sz w:val="16"/>
                <w:szCs w:val="16"/>
                <w:lang w:eastAsia="es-CO"/>
                <w14:ligatures w14:val="none"/>
              </w:rPr>
            </w:pPr>
            <w:r w:rsidRPr="00C60907">
              <w:rPr>
                <w:rFonts w:ascii="Verdana" w:eastAsia="Times New Roman" w:hAnsi="Verdana" w:cs="Arial"/>
                <w:bCs/>
                <w:color w:val="000000"/>
                <w:kern w:val="0"/>
                <w:sz w:val="16"/>
                <w:szCs w:val="16"/>
                <w:lang w:eastAsia="es-CO"/>
                <w14:ligatures w14:val="none"/>
              </w:rPr>
              <w:t>C</w:t>
            </w:r>
          </w:p>
        </w:tc>
      </w:tr>
      <w:tr w:rsidR="002B3025" w:rsidRPr="002B3025" w14:paraId="14480F23" w14:textId="77777777" w:rsidTr="00144B9A">
        <w:trPr>
          <w:trHeight w:val="255"/>
          <w:jc w:val="center"/>
        </w:trPr>
        <w:tc>
          <w:tcPr>
            <w:tcW w:w="3256" w:type="dxa"/>
            <w:noWrap/>
            <w:tcMar>
              <w:top w:w="0" w:type="dxa"/>
              <w:left w:w="70" w:type="dxa"/>
              <w:bottom w:w="0" w:type="dxa"/>
              <w:right w:w="70" w:type="dxa"/>
            </w:tcMar>
            <w:vAlign w:val="center"/>
          </w:tcPr>
          <w:p w14:paraId="1D60C4F5" w14:textId="77777777" w:rsidR="002B3025" w:rsidRPr="00C60907" w:rsidRDefault="002B3025" w:rsidP="00BB28C7">
            <w:pPr>
              <w:spacing w:after="0" w:line="240" w:lineRule="auto"/>
              <w:jc w:val="center"/>
              <w:rPr>
                <w:rFonts w:ascii="Verdana" w:eastAsia="Times New Roman" w:hAnsi="Verdana" w:cs="Arial"/>
                <w:bCs/>
                <w:color w:val="000000"/>
                <w:kern w:val="0"/>
                <w:sz w:val="16"/>
                <w:szCs w:val="16"/>
                <w:lang w:eastAsia="es-CO"/>
                <w14:ligatures w14:val="none"/>
              </w:rPr>
            </w:pPr>
            <w:r w:rsidRPr="00C60907">
              <w:rPr>
                <w:rFonts w:ascii="Verdana" w:eastAsia="Times New Roman" w:hAnsi="Verdana" w:cs="Arial"/>
                <w:bCs/>
                <w:color w:val="000000"/>
                <w:kern w:val="0"/>
                <w:sz w:val="16"/>
                <w:szCs w:val="16"/>
                <w:lang w:eastAsia="es-CO"/>
                <w14:ligatures w14:val="none"/>
              </w:rPr>
              <w:t>D</w:t>
            </w:r>
          </w:p>
        </w:tc>
        <w:tc>
          <w:tcPr>
            <w:tcW w:w="2551" w:type="dxa"/>
            <w:noWrap/>
            <w:tcMar>
              <w:top w:w="0" w:type="dxa"/>
              <w:left w:w="70" w:type="dxa"/>
              <w:bottom w:w="0" w:type="dxa"/>
              <w:right w:w="70" w:type="dxa"/>
            </w:tcMar>
            <w:vAlign w:val="center"/>
          </w:tcPr>
          <w:p w14:paraId="2470BE7A" w14:textId="77777777" w:rsidR="002B3025" w:rsidRPr="00C60907" w:rsidRDefault="002B3025" w:rsidP="00BB28C7">
            <w:pPr>
              <w:spacing w:after="0" w:line="240" w:lineRule="auto"/>
              <w:jc w:val="center"/>
              <w:rPr>
                <w:rFonts w:ascii="Verdana" w:eastAsia="Times New Roman" w:hAnsi="Verdana" w:cs="Arial"/>
                <w:bCs/>
                <w:color w:val="000000"/>
                <w:kern w:val="0"/>
                <w:sz w:val="16"/>
                <w:szCs w:val="16"/>
                <w:lang w:eastAsia="es-CO"/>
                <w14:ligatures w14:val="none"/>
              </w:rPr>
            </w:pPr>
            <w:r w:rsidRPr="00C60907">
              <w:rPr>
                <w:rFonts w:ascii="Verdana" w:eastAsia="Times New Roman" w:hAnsi="Verdana" w:cs="Arial"/>
                <w:bCs/>
                <w:color w:val="000000"/>
                <w:kern w:val="0"/>
                <w:sz w:val="16"/>
                <w:szCs w:val="16"/>
                <w:lang w:eastAsia="es-CO"/>
                <w14:ligatures w14:val="none"/>
              </w:rPr>
              <w:t>D</w:t>
            </w:r>
          </w:p>
        </w:tc>
      </w:tr>
      <w:tr w:rsidR="002B3025" w:rsidRPr="002B3025" w14:paraId="533068AD" w14:textId="77777777" w:rsidTr="00144B9A">
        <w:trPr>
          <w:trHeight w:val="270"/>
          <w:jc w:val="center"/>
        </w:trPr>
        <w:tc>
          <w:tcPr>
            <w:tcW w:w="3256" w:type="dxa"/>
            <w:noWrap/>
            <w:tcMar>
              <w:top w:w="0" w:type="dxa"/>
              <w:left w:w="70" w:type="dxa"/>
              <w:bottom w:w="0" w:type="dxa"/>
              <w:right w:w="70" w:type="dxa"/>
            </w:tcMar>
            <w:vAlign w:val="center"/>
          </w:tcPr>
          <w:p w14:paraId="2B7969C3" w14:textId="77777777" w:rsidR="002B3025" w:rsidRPr="00C60907" w:rsidRDefault="002B3025" w:rsidP="00BB28C7">
            <w:pPr>
              <w:spacing w:after="0" w:line="240" w:lineRule="auto"/>
              <w:jc w:val="center"/>
              <w:rPr>
                <w:rFonts w:ascii="Verdana" w:eastAsia="Times New Roman" w:hAnsi="Verdana" w:cs="Arial"/>
                <w:bCs/>
                <w:color w:val="000000"/>
                <w:kern w:val="0"/>
                <w:sz w:val="16"/>
                <w:szCs w:val="16"/>
                <w:lang w:eastAsia="es-CO"/>
                <w14:ligatures w14:val="none"/>
              </w:rPr>
            </w:pPr>
            <w:r w:rsidRPr="00C60907">
              <w:rPr>
                <w:rFonts w:ascii="Verdana" w:eastAsia="Times New Roman" w:hAnsi="Verdana" w:cs="Arial"/>
                <w:bCs/>
                <w:color w:val="000000"/>
                <w:kern w:val="0"/>
                <w:sz w:val="16"/>
                <w:szCs w:val="16"/>
                <w:lang w:eastAsia="es-CO"/>
                <w14:ligatures w14:val="none"/>
              </w:rPr>
              <w:t>E</w:t>
            </w:r>
          </w:p>
        </w:tc>
        <w:tc>
          <w:tcPr>
            <w:tcW w:w="2551" w:type="dxa"/>
            <w:noWrap/>
            <w:tcMar>
              <w:top w:w="0" w:type="dxa"/>
              <w:left w:w="70" w:type="dxa"/>
              <w:bottom w:w="0" w:type="dxa"/>
              <w:right w:w="70" w:type="dxa"/>
            </w:tcMar>
            <w:vAlign w:val="center"/>
          </w:tcPr>
          <w:p w14:paraId="6BDB3295" w14:textId="77777777" w:rsidR="002B3025" w:rsidRPr="00C60907" w:rsidRDefault="002B3025" w:rsidP="00BB28C7">
            <w:pPr>
              <w:spacing w:after="0" w:line="240" w:lineRule="auto"/>
              <w:jc w:val="center"/>
              <w:rPr>
                <w:rFonts w:ascii="Verdana" w:eastAsia="Times New Roman" w:hAnsi="Verdana" w:cs="Arial"/>
                <w:bCs/>
                <w:color w:val="000000"/>
                <w:kern w:val="0"/>
                <w:sz w:val="16"/>
                <w:szCs w:val="16"/>
                <w:lang w:eastAsia="es-CO"/>
                <w14:ligatures w14:val="none"/>
              </w:rPr>
            </w:pPr>
            <w:r w:rsidRPr="00C60907">
              <w:rPr>
                <w:rFonts w:ascii="Verdana" w:eastAsia="Times New Roman" w:hAnsi="Verdana" w:cs="Arial"/>
                <w:bCs/>
                <w:color w:val="000000"/>
                <w:kern w:val="0"/>
                <w:sz w:val="16"/>
                <w:szCs w:val="16"/>
                <w:lang w:eastAsia="es-CO"/>
                <w14:ligatures w14:val="none"/>
              </w:rPr>
              <w:t>E</w:t>
            </w:r>
          </w:p>
        </w:tc>
      </w:tr>
    </w:tbl>
    <w:p w14:paraId="22144327" w14:textId="77777777" w:rsidR="00144B9A" w:rsidRDefault="00144B9A" w:rsidP="002A5F76">
      <w:pPr>
        <w:spacing w:after="0"/>
        <w:rPr>
          <w:rFonts w:ascii="Verdana" w:hAnsi="Verdana"/>
          <w:sz w:val="20"/>
          <w:szCs w:val="20"/>
        </w:rPr>
      </w:pPr>
    </w:p>
    <w:p w14:paraId="37C4499D" w14:textId="2BF99D4C" w:rsidR="002A5F76" w:rsidRPr="001C6CAB" w:rsidRDefault="002A5F76" w:rsidP="002A5F76">
      <w:pPr>
        <w:spacing w:after="0"/>
        <w:rPr>
          <w:rFonts w:ascii="Verdana" w:hAnsi="Verdana"/>
          <w:sz w:val="20"/>
          <w:szCs w:val="20"/>
        </w:rPr>
      </w:pPr>
      <w:r w:rsidRPr="001C6CAB">
        <w:rPr>
          <w:rFonts w:ascii="Verdana" w:hAnsi="Verdana"/>
          <w:sz w:val="20"/>
          <w:szCs w:val="20"/>
        </w:rPr>
        <w:lastRenderedPageBreak/>
        <w:t>1.1.3.</w:t>
      </w:r>
      <w:r w:rsidR="00412DEF">
        <w:rPr>
          <w:rFonts w:ascii="Verdana" w:hAnsi="Verdana"/>
          <w:sz w:val="20"/>
          <w:szCs w:val="20"/>
        </w:rPr>
        <w:t>59</w:t>
      </w:r>
      <w:r w:rsidRPr="001C6CAB">
        <w:rPr>
          <w:rFonts w:ascii="Verdana" w:hAnsi="Verdana"/>
          <w:sz w:val="20"/>
          <w:szCs w:val="20"/>
        </w:rPr>
        <w:t>.</w:t>
      </w:r>
    </w:p>
    <w:p w14:paraId="611FB3F3" w14:textId="4872D8E1" w:rsidR="002B3025" w:rsidRPr="002B3025" w:rsidRDefault="002B3025" w:rsidP="00B929BB">
      <w:pPr>
        <w:jc w:val="both"/>
        <w:rPr>
          <w:rFonts w:ascii="Verdana" w:hAnsi="Verdana" w:cs="Arial"/>
          <w:bCs/>
          <w:sz w:val="20"/>
          <w:szCs w:val="20"/>
        </w:rPr>
      </w:pPr>
      <w:r w:rsidRPr="002B3025">
        <w:rPr>
          <w:rFonts w:ascii="Verdana" w:hAnsi="Verdana" w:cs="Arial"/>
          <w:bCs/>
          <w:sz w:val="20"/>
          <w:szCs w:val="20"/>
        </w:rPr>
        <w:t>Cuando en virtud de la implementación del modelo de referencia adoptado por la SFC la entidad califique a sus clientes como incumplidos, éstos deben ser homologados de la siguiente manera:</w:t>
      </w:r>
    </w:p>
    <w:p w14:paraId="05E53ADD" w14:textId="77777777" w:rsidR="002B3025" w:rsidRPr="002A5F76" w:rsidRDefault="002B3025" w:rsidP="00634E67">
      <w:pPr>
        <w:pStyle w:val="Prrafodelista"/>
        <w:numPr>
          <w:ilvl w:val="0"/>
          <w:numId w:val="13"/>
        </w:numPr>
        <w:ind w:left="567" w:hanging="567"/>
        <w:jc w:val="both"/>
        <w:rPr>
          <w:rFonts w:ascii="Verdana" w:hAnsi="Verdana" w:cs="Arial"/>
          <w:bCs/>
          <w:sz w:val="20"/>
          <w:szCs w:val="20"/>
        </w:rPr>
      </w:pPr>
      <w:r w:rsidRPr="002A5F76">
        <w:rPr>
          <w:rFonts w:ascii="Verdana" w:hAnsi="Verdana" w:cs="Arial"/>
          <w:bCs/>
          <w:sz w:val="20"/>
          <w:szCs w:val="20"/>
        </w:rPr>
        <w:t>Calificación agrupada E = Aquellos clientes incumplidos cuya PDI asignada sea igual a 100%.</w:t>
      </w:r>
    </w:p>
    <w:p w14:paraId="0BFE953B" w14:textId="77777777" w:rsidR="00BB28C7" w:rsidRDefault="00BB28C7" w:rsidP="00BB28C7">
      <w:pPr>
        <w:pStyle w:val="Prrafodelista"/>
        <w:ind w:left="567"/>
        <w:jc w:val="both"/>
        <w:rPr>
          <w:rFonts w:ascii="Verdana" w:hAnsi="Verdana" w:cs="Arial"/>
          <w:bCs/>
          <w:sz w:val="20"/>
          <w:szCs w:val="20"/>
        </w:rPr>
      </w:pPr>
    </w:p>
    <w:p w14:paraId="6D2E0427" w14:textId="556F78F0" w:rsidR="002B3025" w:rsidRPr="00BB28C7" w:rsidRDefault="002B3025" w:rsidP="00B929BB">
      <w:pPr>
        <w:pStyle w:val="Prrafodelista"/>
        <w:numPr>
          <w:ilvl w:val="0"/>
          <w:numId w:val="13"/>
        </w:numPr>
        <w:ind w:left="567" w:hanging="567"/>
        <w:jc w:val="both"/>
        <w:rPr>
          <w:rFonts w:ascii="Verdana" w:hAnsi="Verdana" w:cs="Arial"/>
          <w:bCs/>
          <w:sz w:val="20"/>
          <w:szCs w:val="20"/>
        </w:rPr>
      </w:pPr>
      <w:r w:rsidRPr="002A5F76">
        <w:rPr>
          <w:rFonts w:ascii="Verdana" w:hAnsi="Verdana" w:cs="Arial"/>
          <w:bCs/>
          <w:sz w:val="20"/>
          <w:szCs w:val="20"/>
        </w:rPr>
        <w:t>Categoría agrupada D = Los demás clientes calificados como incumplidos.</w:t>
      </w:r>
    </w:p>
    <w:p w14:paraId="40700B8A" w14:textId="2FE63E93" w:rsidR="002A5F76" w:rsidRPr="001C6CAB" w:rsidRDefault="002A5F76" w:rsidP="002A5F76">
      <w:pPr>
        <w:spacing w:after="0"/>
        <w:rPr>
          <w:rFonts w:ascii="Verdana" w:hAnsi="Verdana"/>
          <w:sz w:val="20"/>
          <w:szCs w:val="20"/>
        </w:rPr>
      </w:pPr>
      <w:r w:rsidRPr="001C6CAB">
        <w:rPr>
          <w:rFonts w:ascii="Verdana" w:hAnsi="Verdana"/>
          <w:sz w:val="20"/>
          <w:szCs w:val="20"/>
        </w:rPr>
        <w:t>1.1.3.</w:t>
      </w:r>
      <w:r>
        <w:rPr>
          <w:rFonts w:ascii="Verdana" w:hAnsi="Verdana"/>
          <w:sz w:val="20"/>
          <w:szCs w:val="20"/>
        </w:rPr>
        <w:t>6</w:t>
      </w:r>
      <w:r w:rsidR="00412DEF">
        <w:rPr>
          <w:rFonts w:ascii="Verdana" w:hAnsi="Verdana"/>
          <w:sz w:val="20"/>
          <w:szCs w:val="20"/>
        </w:rPr>
        <w:t>0</w:t>
      </w:r>
      <w:r w:rsidRPr="001C6CAB">
        <w:rPr>
          <w:rFonts w:ascii="Verdana" w:hAnsi="Verdana"/>
          <w:sz w:val="20"/>
          <w:szCs w:val="20"/>
        </w:rPr>
        <w:t>.</w:t>
      </w:r>
    </w:p>
    <w:p w14:paraId="3A6E224B" w14:textId="3786BDEE" w:rsidR="005047C6" w:rsidRDefault="002B3025" w:rsidP="00412DEF">
      <w:pPr>
        <w:jc w:val="both"/>
        <w:rPr>
          <w:rFonts w:ascii="Verdana" w:hAnsi="Verdana" w:cs="Arial"/>
          <w:bCs/>
          <w:sz w:val="20"/>
          <w:szCs w:val="20"/>
        </w:rPr>
      </w:pPr>
      <w:r w:rsidRPr="002B3025">
        <w:rPr>
          <w:rFonts w:ascii="Verdana" w:hAnsi="Verdana" w:cs="Arial"/>
          <w:bCs/>
          <w:sz w:val="20"/>
          <w:szCs w:val="20"/>
        </w:rPr>
        <w:t xml:space="preserve">Para efectos de la homologación en la cartera de consumo, la mora actual a la que se </w:t>
      </w:r>
      <w:r w:rsidRPr="00A3358D">
        <w:rPr>
          <w:rFonts w:ascii="Verdana" w:hAnsi="Verdana" w:cs="Arial"/>
          <w:bCs/>
          <w:sz w:val="20"/>
          <w:szCs w:val="20"/>
        </w:rPr>
        <w:t>refiere la tabla anterior debe entenderse como la máxima</w:t>
      </w:r>
      <w:r w:rsidRPr="002B3025">
        <w:rPr>
          <w:rFonts w:ascii="Verdana" w:hAnsi="Verdana" w:cs="Arial"/>
          <w:bCs/>
          <w:sz w:val="20"/>
          <w:szCs w:val="20"/>
        </w:rPr>
        <w:t xml:space="preserve"> que registra el deudor en los productos alineados.</w:t>
      </w:r>
    </w:p>
    <w:p w14:paraId="14BF811C" w14:textId="16AD822F" w:rsidR="002B3DE5" w:rsidRPr="002B3DE5" w:rsidRDefault="002B3025" w:rsidP="005047C6">
      <w:pPr>
        <w:pStyle w:val="Prrafodelista"/>
        <w:numPr>
          <w:ilvl w:val="0"/>
          <w:numId w:val="39"/>
        </w:numPr>
        <w:tabs>
          <w:tab w:val="right" w:pos="540"/>
        </w:tabs>
        <w:spacing w:after="0" w:line="240" w:lineRule="auto"/>
        <w:ind w:left="284" w:hanging="284"/>
        <w:contextualSpacing w:val="0"/>
        <w:jc w:val="both"/>
        <w:rPr>
          <w:rFonts w:ascii="Verdana" w:hAnsi="Verdana" w:cs="Arial"/>
          <w:b/>
          <w:sz w:val="20"/>
          <w:szCs w:val="20"/>
        </w:rPr>
      </w:pPr>
      <w:r w:rsidRPr="005047C6">
        <w:rPr>
          <w:rFonts w:ascii="Verdana" w:hAnsi="Verdana" w:cs="Arial"/>
          <w:b/>
          <w:sz w:val="20"/>
          <w:szCs w:val="20"/>
        </w:rPr>
        <w:t>Reglas de alineamiento</w:t>
      </w:r>
    </w:p>
    <w:p w14:paraId="5DEE8B54" w14:textId="77777777" w:rsidR="002B3DE5" w:rsidRDefault="002B3DE5" w:rsidP="005047C6">
      <w:pPr>
        <w:spacing w:after="0"/>
        <w:rPr>
          <w:rFonts w:ascii="Verdana" w:hAnsi="Verdana"/>
          <w:sz w:val="20"/>
          <w:szCs w:val="20"/>
        </w:rPr>
      </w:pPr>
    </w:p>
    <w:p w14:paraId="79C809FC" w14:textId="11C8C307" w:rsidR="005047C6" w:rsidRPr="001C6CAB" w:rsidRDefault="005047C6" w:rsidP="005047C6">
      <w:pPr>
        <w:spacing w:after="0"/>
        <w:rPr>
          <w:rFonts w:ascii="Verdana" w:hAnsi="Verdana"/>
          <w:sz w:val="20"/>
          <w:szCs w:val="20"/>
        </w:rPr>
      </w:pPr>
      <w:r w:rsidRPr="001C6CAB">
        <w:rPr>
          <w:rFonts w:ascii="Verdana" w:hAnsi="Verdana"/>
          <w:sz w:val="20"/>
          <w:szCs w:val="20"/>
        </w:rPr>
        <w:t>1.1.3.</w:t>
      </w:r>
      <w:r>
        <w:rPr>
          <w:rFonts w:ascii="Verdana" w:hAnsi="Verdana"/>
          <w:sz w:val="20"/>
          <w:szCs w:val="20"/>
        </w:rPr>
        <w:t>6</w:t>
      </w:r>
      <w:r w:rsidR="00412DEF">
        <w:rPr>
          <w:rFonts w:ascii="Verdana" w:hAnsi="Verdana"/>
          <w:sz w:val="20"/>
          <w:szCs w:val="20"/>
        </w:rPr>
        <w:t>1</w:t>
      </w:r>
      <w:r w:rsidRPr="001C6CAB">
        <w:rPr>
          <w:rFonts w:ascii="Verdana" w:hAnsi="Verdana"/>
          <w:sz w:val="20"/>
          <w:szCs w:val="20"/>
        </w:rPr>
        <w:t>.</w:t>
      </w:r>
    </w:p>
    <w:p w14:paraId="4824195A" w14:textId="4173F2B6" w:rsidR="002B3025" w:rsidRPr="002B3025" w:rsidRDefault="002B3025" w:rsidP="00B929BB">
      <w:pPr>
        <w:tabs>
          <w:tab w:val="left" w:pos="709"/>
        </w:tabs>
        <w:jc w:val="both"/>
        <w:rPr>
          <w:rFonts w:ascii="Verdana" w:hAnsi="Verdana" w:cs="Arial"/>
          <w:bCs/>
          <w:sz w:val="20"/>
          <w:szCs w:val="20"/>
        </w:rPr>
      </w:pPr>
      <w:r w:rsidRPr="002B3025">
        <w:rPr>
          <w:rFonts w:ascii="Verdana" w:hAnsi="Verdana" w:cs="Arial"/>
          <w:bCs/>
          <w:sz w:val="20"/>
          <w:szCs w:val="20"/>
        </w:rPr>
        <w:t xml:space="preserve">Con excepción de los casos a los que </w:t>
      </w:r>
      <w:r w:rsidRPr="0061704E">
        <w:rPr>
          <w:rFonts w:ascii="Verdana" w:hAnsi="Verdana" w:cs="Arial"/>
          <w:bCs/>
          <w:sz w:val="20"/>
          <w:szCs w:val="20"/>
        </w:rPr>
        <w:t xml:space="preserve">se refiere el </w:t>
      </w:r>
      <w:r w:rsidR="0061704E" w:rsidRPr="0061704E">
        <w:rPr>
          <w:rFonts w:ascii="Verdana" w:hAnsi="Verdana" w:cs="Arial"/>
          <w:bCs/>
          <w:sz w:val="20"/>
          <w:szCs w:val="20"/>
        </w:rPr>
        <w:t>a</w:t>
      </w:r>
      <w:r w:rsidRPr="0061704E">
        <w:rPr>
          <w:rFonts w:ascii="Verdana" w:hAnsi="Verdana" w:cs="Arial"/>
          <w:bCs/>
          <w:sz w:val="20"/>
          <w:szCs w:val="20"/>
        </w:rPr>
        <w:t xml:space="preserve">nexo 4 del </w:t>
      </w:r>
      <w:r w:rsidR="0061704E" w:rsidRPr="0061704E">
        <w:rPr>
          <w:rFonts w:ascii="Verdana" w:hAnsi="Verdana" w:cs="Arial"/>
          <w:bCs/>
          <w:sz w:val="20"/>
          <w:szCs w:val="20"/>
        </w:rPr>
        <w:t>presente capítulo</w:t>
      </w:r>
      <w:r w:rsidR="0061704E">
        <w:rPr>
          <w:rFonts w:ascii="Verdana" w:hAnsi="Verdana" w:cs="Arial"/>
          <w:bCs/>
          <w:sz w:val="20"/>
          <w:szCs w:val="20"/>
        </w:rPr>
        <w:t>,</w:t>
      </w:r>
      <w:r w:rsidRPr="002B3025">
        <w:rPr>
          <w:rFonts w:ascii="Verdana" w:hAnsi="Verdana" w:cs="Arial"/>
          <w:bCs/>
          <w:sz w:val="20"/>
          <w:szCs w:val="20"/>
        </w:rPr>
        <w:t xml:space="preserve"> la entidad debe alinear las calificaciones de sus deudores atendiendo los siguientes criterios:</w:t>
      </w:r>
    </w:p>
    <w:p w14:paraId="4C604E2B" w14:textId="6961B497" w:rsidR="002B3025" w:rsidRPr="002B3025" w:rsidRDefault="002B3025" w:rsidP="00634E67">
      <w:pPr>
        <w:pStyle w:val="Prrafodelista"/>
        <w:numPr>
          <w:ilvl w:val="0"/>
          <w:numId w:val="14"/>
        </w:numPr>
        <w:tabs>
          <w:tab w:val="left" w:pos="567"/>
        </w:tabs>
        <w:spacing w:after="0" w:line="240" w:lineRule="auto"/>
        <w:ind w:left="567" w:hanging="567"/>
        <w:jc w:val="both"/>
        <w:rPr>
          <w:rFonts w:ascii="Verdana" w:hAnsi="Verdana" w:cs="Arial"/>
          <w:sz w:val="20"/>
          <w:szCs w:val="20"/>
        </w:rPr>
      </w:pPr>
      <w:r w:rsidRPr="12B437D6">
        <w:rPr>
          <w:rFonts w:ascii="Verdana" w:hAnsi="Verdana" w:cs="Arial"/>
          <w:sz w:val="20"/>
          <w:szCs w:val="20"/>
        </w:rPr>
        <w:t xml:space="preserve">Previo al proceso de constitución de provisiones y homologación de calificaciones, la entidad mensualmente y para cada deudor, debe llevar a la calificación de mayor riesgo los créditos de la misma modalidad otorgados a </w:t>
      </w:r>
      <w:r w:rsidR="006E436F">
        <w:rPr>
          <w:rFonts w:ascii="Verdana" w:hAnsi="Verdana" w:cs="Arial"/>
          <w:sz w:val="20"/>
          <w:szCs w:val="20"/>
        </w:rPr>
        <w:t>cada deu</w:t>
      </w:r>
      <w:r w:rsidR="00F52681">
        <w:rPr>
          <w:rFonts w:ascii="Verdana" w:hAnsi="Verdana" w:cs="Arial"/>
          <w:sz w:val="20"/>
          <w:szCs w:val="20"/>
        </w:rPr>
        <w:t>dor</w:t>
      </w:r>
      <w:r w:rsidRPr="12B437D6">
        <w:rPr>
          <w:rFonts w:ascii="Verdana" w:hAnsi="Verdana" w:cs="Arial"/>
          <w:sz w:val="20"/>
          <w:szCs w:val="20"/>
        </w:rPr>
        <w:t xml:space="preserve"> por la entidad, salvo que demuestre a la SFC la existencia de razones suficientes para su calificación en una categoría de menor riesgo. Este criterio </w:t>
      </w:r>
      <w:r w:rsidR="00BC2A88">
        <w:rPr>
          <w:rFonts w:ascii="Verdana" w:hAnsi="Verdana" w:cs="Arial"/>
          <w:sz w:val="20"/>
          <w:szCs w:val="20"/>
        </w:rPr>
        <w:t xml:space="preserve">de </w:t>
      </w:r>
      <w:r w:rsidR="00A16455">
        <w:rPr>
          <w:rFonts w:ascii="Verdana" w:hAnsi="Verdana" w:cs="Arial"/>
          <w:sz w:val="20"/>
          <w:szCs w:val="20"/>
        </w:rPr>
        <w:t xml:space="preserve">alineamiento a la calificación de mayor riesgo </w:t>
      </w:r>
      <w:r w:rsidR="00931012">
        <w:rPr>
          <w:rFonts w:ascii="Verdana" w:hAnsi="Verdana" w:cs="Arial"/>
          <w:sz w:val="20"/>
          <w:szCs w:val="20"/>
        </w:rPr>
        <w:t xml:space="preserve">también </w:t>
      </w:r>
      <w:r w:rsidRPr="12B437D6">
        <w:rPr>
          <w:rFonts w:ascii="Verdana" w:hAnsi="Verdana" w:cs="Arial"/>
          <w:sz w:val="20"/>
          <w:szCs w:val="20"/>
        </w:rPr>
        <w:t xml:space="preserve">aplica para los créditos que siendo reestructurados sean </w:t>
      </w:r>
      <w:r w:rsidRPr="00CA79C7">
        <w:rPr>
          <w:rFonts w:ascii="Verdana" w:hAnsi="Verdana" w:cs="Arial"/>
          <w:sz w:val="20"/>
          <w:szCs w:val="20"/>
        </w:rPr>
        <w:t>calificados como incumplidos en los términos de</w:t>
      </w:r>
      <w:r w:rsidR="00CA79C7" w:rsidRPr="00CA79C7">
        <w:rPr>
          <w:rFonts w:ascii="Verdana" w:hAnsi="Verdana" w:cs="Arial"/>
          <w:sz w:val="20"/>
          <w:szCs w:val="20"/>
        </w:rPr>
        <w:t>l párrafo 1.1.3.30.</w:t>
      </w:r>
    </w:p>
    <w:p w14:paraId="29645C7F" w14:textId="77777777" w:rsidR="00ED0700" w:rsidRDefault="00ED0700" w:rsidP="00ED0700">
      <w:pPr>
        <w:pStyle w:val="Prrafodelista"/>
        <w:tabs>
          <w:tab w:val="left" w:pos="567"/>
        </w:tabs>
        <w:spacing w:after="0" w:line="240" w:lineRule="auto"/>
        <w:ind w:left="567"/>
        <w:contextualSpacing w:val="0"/>
        <w:jc w:val="both"/>
        <w:rPr>
          <w:rFonts w:ascii="Verdana" w:hAnsi="Verdana" w:cs="Arial"/>
          <w:bCs/>
          <w:sz w:val="20"/>
          <w:szCs w:val="20"/>
        </w:rPr>
      </w:pPr>
    </w:p>
    <w:p w14:paraId="11A9BB37" w14:textId="3491391B" w:rsidR="002B3025" w:rsidRPr="002B3025" w:rsidRDefault="002B3025" w:rsidP="00634E67">
      <w:pPr>
        <w:pStyle w:val="Prrafodelista"/>
        <w:numPr>
          <w:ilvl w:val="0"/>
          <w:numId w:val="14"/>
        </w:numPr>
        <w:tabs>
          <w:tab w:val="left" w:pos="567"/>
        </w:tabs>
        <w:spacing w:after="0" w:line="240" w:lineRule="auto"/>
        <w:ind w:left="567" w:hanging="567"/>
        <w:jc w:val="both"/>
        <w:rPr>
          <w:rFonts w:ascii="Verdana" w:hAnsi="Verdana" w:cs="Arial"/>
          <w:sz w:val="20"/>
          <w:szCs w:val="20"/>
        </w:rPr>
      </w:pPr>
      <w:r w:rsidRPr="12B437D6">
        <w:rPr>
          <w:rFonts w:ascii="Verdana" w:hAnsi="Verdana" w:cs="Arial"/>
          <w:sz w:val="20"/>
          <w:szCs w:val="20"/>
        </w:rPr>
        <w:t>La entidad que de acuerdo con las disposiciones legales pertinentes est</w:t>
      </w:r>
      <w:r w:rsidR="00F765CF">
        <w:rPr>
          <w:rFonts w:ascii="Verdana" w:hAnsi="Verdana" w:cs="Arial"/>
          <w:sz w:val="20"/>
          <w:szCs w:val="20"/>
        </w:rPr>
        <w:t>é</w:t>
      </w:r>
      <w:r w:rsidRPr="12B437D6">
        <w:rPr>
          <w:rFonts w:ascii="Verdana" w:hAnsi="Verdana" w:cs="Arial"/>
          <w:sz w:val="20"/>
          <w:szCs w:val="20"/>
        </w:rPr>
        <w:t xml:space="preserve"> en la obligación de consolidar estados financieros, debe asignar igual calificación a los créditos de la misma modalidad otorgados a un deudor, salvo que demuestre a la SFC la existencia de razones suficientes para su calificación en una categoría de menor riesgo.</w:t>
      </w:r>
    </w:p>
    <w:p w14:paraId="7ED92C1D" w14:textId="77777777" w:rsidR="00ED0700" w:rsidRDefault="00ED0700" w:rsidP="00ED0700">
      <w:pPr>
        <w:pStyle w:val="Prrafodelista"/>
        <w:tabs>
          <w:tab w:val="right" w:pos="540"/>
        </w:tabs>
        <w:spacing w:after="0" w:line="240" w:lineRule="auto"/>
        <w:ind w:left="0"/>
        <w:contextualSpacing w:val="0"/>
        <w:jc w:val="both"/>
        <w:rPr>
          <w:rFonts w:ascii="Verdana" w:hAnsi="Verdana" w:cs="Arial"/>
          <w:bCs/>
          <w:sz w:val="20"/>
          <w:szCs w:val="20"/>
        </w:rPr>
      </w:pPr>
    </w:p>
    <w:p w14:paraId="21F0BEAE" w14:textId="3C44EAB9" w:rsidR="002B3025" w:rsidRDefault="002B3025" w:rsidP="00551D66">
      <w:pPr>
        <w:pStyle w:val="Prrafodelista"/>
        <w:numPr>
          <w:ilvl w:val="0"/>
          <w:numId w:val="39"/>
        </w:numPr>
        <w:tabs>
          <w:tab w:val="right" w:pos="284"/>
        </w:tabs>
        <w:spacing w:after="0" w:line="240" w:lineRule="auto"/>
        <w:ind w:left="284" w:hanging="284"/>
        <w:contextualSpacing w:val="0"/>
        <w:jc w:val="both"/>
        <w:rPr>
          <w:rFonts w:ascii="Verdana" w:hAnsi="Verdana" w:cs="Arial"/>
          <w:b/>
          <w:sz w:val="20"/>
          <w:szCs w:val="20"/>
        </w:rPr>
      </w:pPr>
      <w:r w:rsidRPr="00ED0700">
        <w:rPr>
          <w:rFonts w:ascii="Verdana" w:hAnsi="Verdana" w:cs="Arial"/>
          <w:b/>
          <w:sz w:val="20"/>
          <w:szCs w:val="20"/>
        </w:rPr>
        <w:t>Órdenes de recalificación</w:t>
      </w:r>
    </w:p>
    <w:p w14:paraId="496A28C9" w14:textId="77777777" w:rsidR="00412DEF" w:rsidRPr="00412DEF" w:rsidRDefault="00412DEF" w:rsidP="00412DEF">
      <w:pPr>
        <w:pStyle w:val="Prrafodelista"/>
        <w:tabs>
          <w:tab w:val="right" w:pos="540"/>
        </w:tabs>
        <w:spacing w:after="0" w:line="240" w:lineRule="auto"/>
        <w:ind w:left="0"/>
        <w:contextualSpacing w:val="0"/>
        <w:jc w:val="both"/>
        <w:rPr>
          <w:rFonts w:ascii="Verdana" w:hAnsi="Verdana" w:cs="Arial"/>
          <w:b/>
          <w:sz w:val="20"/>
          <w:szCs w:val="20"/>
        </w:rPr>
      </w:pPr>
    </w:p>
    <w:p w14:paraId="4CF28473" w14:textId="396C67B6" w:rsidR="00ED0700" w:rsidRPr="001C6CAB" w:rsidRDefault="00ED0700" w:rsidP="00ED0700">
      <w:pPr>
        <w:spacing w:after="0"/>
        <w:rPr>
          <w:rFonts w:ascii="Verdana" w:hAnsi="Verdana"/>
          <w:sz w:val="20"/>
          <w:szCs w:val="20"/>
        </w:rPr>
      </w:pPr>
      <w:r w:rsidRPr="001C6CAB">
        <w:rPr>
          <w:rFonts w:ascii="Verdana" w:hAnsi="Verdana"/>
          <w:sz w:val="20"/>
          <w:szCs w:val="20"/>
        </w:rPr>
        <w:t>1.1.3.</w:t>
      </w:r>
      <w:r>
        <w:rPr>
          <w:rFonts w:ascii="Verdana" w:hAnsi="Verdana"/>
          <w:sz w:val="20"/>
          <w:szCs w:val="20"/>
        </w:rPr>
        <w:t>6</w:t>
      </w:r>
      <w:r w:rsidR="00412DEF">
        <w:rPr>
          <w:rFonts w:ascii="Verdana" w:hAnsi="Verdana"/>
          <w:sz w:val="20"/>
          <w:szCs w:val="20"/>
        </w:rPr>
        <w:t>2</w:t>
      </w:r>
      <w:r w:rsidRPr="001C6CAB">
        <w:rPr>
          <w:rFonts w:ascii="Verdana" w:hAnsi="Verdana"/>
          <w:sz w:val="20"/>
          <w:szCs w:val="20"/>
        </w:rPr>
        <w:t>.</w:t>
      </w:r>
    </w:p>
    <w:p w14:paraId="2FC66E64" w14:textId="5A07196C" w:rsidR="005044A0" w:rsidRPr="00412DEF" w:rsidRDefault="002B3025" w:rsidP="00B929BB">
      <w:pPr>
        <w:jc w:val="both"/>
        <w:rPr>
          <w:rFonts w:ascii="Verdana" w:hAnsi="Verdana" w:cs="Arial"/>
          <w:sz w:val="20"/>
          <w:szCs w:val="20"/>
        </w:rPr>
      </w:pPr>
      <w:r w:rsidRPr="12B437D6">
        <w:rPr>
          <w:rFonts w:ascii="Verdana" w:hAnsi="Verdana" w:cs="Arial"/>
          <w:sz w:val="20"/>
          <w:szCs w:val="20"/>
        </w:rPr>
        <w:t>La SFC podrá: (i) revisar las calificaciones realizadas por las entidades</w:t>
      </w:r>
      <w:r w:rsidR="00655892">
        <w:rPr>
          <w:rFonts w:ascii="Verdana" w:hAnsi="Verdana" w:cs="Arial"/>
          <w:sz w:val="20"/>
          <w:szCs w:val="20"/>
        </w:rPr>
        <w:t>;</w:t>
      </w:r>
      <w:r w:rsidRPr="12B437D6">
        <w:rPr>
          <w:rFonts w:ascii="Verdana" w:hAnsi="Verdana" w:cs="Arial"/>
          <w:sz w:val="20"/>
          <w:szCs w:val="20"/>
        </w:rPr>
        <w:t xml:space="preserve"> (ii) ordenar las reclasificaciones a categorías de mayor riesgo cuando a ello hubiere lugar</w:t>
      </w:r>
      <w:r w:rsidR="00655892">
        <w:rPr>
          <w:rFonts w:ascii="Verdana" w:hAnsi="Verdana" w:cs="Arial"/>
          <w:sz w:val="20"/>
          <w:szCs w:val="20"/>
        </w:rPr>
        <w:t>;</w:t>
      </w:r>
      <w:r w:rsidRPr="12B437D6">
        <w:rPr>
          <w:rFonts w:ascii="Verdana" w:hAnsi="Verdana" w:cs="Arial"/>
          <w:sz w:val="20"/>
          <w:szCs w:val="20"/>
        </w:rPr>
        <w:t xml:space="preserve"> y (iii) ordenar recalificaciones de cartera para un sector económico, zona geográfica o para un deudor o conjunto de deudores, cuyas obligaciones deban acumularse según </w:t>
      </w:r>
      <w:r w:rsidRPr="12B437D6" w:rsidDel="00F81858">
        <w:rPr>
          <w:rFonts w:ascii="Verdana" w:hAnsi="Verdana" w:cs="Arial"/>
          <w:sz w:val="20"/>
          <w:szCs w:val="20"/>
        </w:rPr>
        <w:t xml:space="preserve">las </w:t>
      </w:r>
      <w:r w:rsidR="001E049F">
        <w:rPr>
          <w:rFonts w:ascii="Verdana" w:hAnsi="Verdana" w:cs="Arial"/>
          <w:sz w:val="20"/>
          <w:szCs w:val="20"/>
        </w:rPr>
        <w:t>«</w:t>
      </w:r>
      <w:r w:rsidR="001E049F" w:rsidRPr="00651B7C">
        <w:rPr>
          <w:rFonts w:ascii="Verdana" w:hAnsi="Verdana" w:cs="Arial"/>
          <w:i/>
          <w:iCs/>
          <w:sz w:val="20"/>
          <w:szCs w:val="20"/>
        </w:rPr>
        <w:t>Normas para la identificación y gestión de las grandes exposiciones y concentración de riesgos de los establecimientos de crédito, y de los cupos individuales de crédito de las demás entidades vigiladas</w:t>
      </w:r>
      <w:r w:rsidR="000F32EC">
        <w:rPr>
          <w:rFonts w:ascii="Verdana" w:hAnsi="Verdana" w:cs="Arial"/>
          <w:sz w:val="20"/>
          <w:szCs w:val="20"/>
        </w:rPr>
        <w:t>» del capítulo 10 de la parte 2 de la presente circular</w:t>
      </w:r>
      <w:r w:rsidRPr="12B437D6">
        <w:rPr>
          <w:rFonts w:ascii="Verdana" w:hAnsi="Verdana" w:cs="Arial"/>
          <w:sz w:val="20"/>
          <w:szCs w:val="20"/>
        </w:rPr>
        <w:t>.</w:t>
      </w:r>
      <w:r w:rsidR="005044A0">
        <w:rPr>
          <w:rFonts w:ascii="Verdana" w:hAnsi="Verdana" w:cs="Arial"/>
          <w:sz w:val="20"/>
          <w:szCs w:val="20"/>
        </w:rPr>
        <w:t xml:space="preserve"> </w:t>
      </w:r>
    </w:p>
    <w:p w14:paraId="5749FEB3" w14:textId="1480689E" w:rsidR="002B3025" w:rsidRPr="002A3189" w:rsidRDefault="002B3025" w:rsidP="002A3189">
      <w:pPr>
        <w:tabs>
          <w:tab w:val="left" w:pos="0"/>
        </w:tabs>
        <w:spacing w:after="0" w:line="240" w:lineRule="auto"/>
        <w:jc w:val="both"/>
        <w:rPr>
          <w:rFonts w:ascii="Verdana" w:hAnsi="Verdana" w:cs="Arial"/>
          <w:b/>
          <w:sz w:val="20"/>
          <w:szCs w:val="20"/>
        </w:rPr>
      </w:pPr>
      <w:r w:rsidRPr="002A3189">
        <w:rPr>
          <w:rFonts w:ascii="Verdana" w:hAnsi="Verdana" w:cs="Arial"/>
          <w:b/>
          <w:sz w:val="20"/>
          <w:szCs w:val="20"/>
        </w:rPr>
        <w:t xml:space="preserve">Aspectos contables: </w:t>
      </w:r>
      <w:r w:rsidR="00063484">
        <w:rPr>
          <w:rFonts w:ascii="Verdana" w:hAnsi="Verdana" w:cs="Arial"/>
          <w:b/>
          <w:sz w:val="20"/>
          <w:szCs w:val="20"/>
        </w:rPr>
        <w:t>c</w:t>
      </w:r>
      <w:r w:rsidRPr="002A3189">
        <w:rPr>
          <w:rFonts w:ascii="Verdana" w:hAnsi="Verdana" w:cs="Arial"/>
          <w:b/>
          <w:sz w:val="20"/>
          <w:szCs w:val="20"/>
        </w:rPr>
        <w:t>ontabilización de intereses</w:t>
      </w:r>
    </w:p>
    <w:p w14:paraId="20721B8D" w14:textId="77777777" w:rsidR="002A3189" w:rsidRDefault="002A3189" w:rsidP="002A3189">
      <w:pPr>
        <w:pStyle w:val="Prrafodelista"/>
        <w:tabs>
          <w:tab w:val="right" w:pos="540"/>
        </w:tabs>
        <w:spacing w:after="0" w:line="240" w:lineRule="auto"/>
        <w:ind w:left="0"/>
        <w:contextualSpacing w:val="0"/>
        <w:jc w:val="both"/>
        <w:rPr>
          <w:rFonts w:ascii="Verdana" w:hAnsi="Verdana" w:cs="Arial"/>
          <w:bCs/>
          <w:sz w:val="20"/>
          <w:szCs w:val="20"/>
        </w:rPr>
      </w:pPr>
    </w:p>
    <w:p w14:paraId="18AFC859" w14:textId="34CD34DF" w:rsidR="002B3025" w:rsidRDefault="002B3025" w:rsidP="00551D66">
      <w:pPr>
        <w:pStyle w:val="Prrafodelista"/>
        <w:numPr>
          <w:ilvl w:val="0"/>
          <w:numId w:val="39"/>
        </w:numPr>
        <w:tabs>
          <w:tab w:val="right" w:pos="284"/>
        </w:tabs>
        <w:spacing w:after="0" w:line="240" w:lineRule="auto"/>
        <w:ind w:left="284" w:hanging="284"/>
        <w:jc w:val="both"/>
        <w:rPr>
          <w:rFonts w:ascii="Verdana" w:hAnsi="Verdana" w:cs="Arial"/>
          <w:b/>
          <w:bCs/>
          <w:sz w:val="20"/>
          <w:szCs w:val="20"/>
        </w:rPr>
      </w:pPr>
      <w:r w:rsidRPr="12B437D6">
        <w:rPr>
          <w:rFonts w:ascii="Verdana" w:hAnsi="Verdana" w:cs="Arial"/>
          <w:b/>
          <w:bCs/>
          <w:sz w:val="20"/>
          <w:szCs w:val="20"/>
        </w:rPr>
        <w:t>Suspensión de la causación de intereses</w:t>
      </w:r>
    </w:p>
    <w:p w14:paraId="1A2B7E25" w14:textId="77777777" w:rsidR="00063484" w:rsidRPr="00063484" w:rsidRDefault="00063484" w:rsidP="00063484">
      <w:pPr>
        <w:pStyle w:val="Prrafodelista"/>
        <w:tabs>
          <w:tab w:val="right" w:pos="284"/>
        </w:tabs>
        <w:spacing w:after="0" w:line="240" w:lineRule="auto"/>
        <w:ind w:left="284"/>
        <w:jc w:val="both"/>
        <w:rPr>
          <w:rFonts w:ascii="Verdana" w:hAnsi="Verdana" w:cs="Arial"/>
          <w:b/>
          <w:bCs/>
          <w:sz w:val="20"/>
          <w:szCs w:val="20"/>
        </w:rPr>
      </w:pPr>
    </w:p>
    <w:p w14:paraId="461C320D" w14:textId="16CE0633" w:rsidR="002A3189" w:rsidRPr="001C6CAB" w:rsidRDefault="002A3189" w:rsidP="002A3189">
      <w:pPr>
        <w:spacing w:after="0"/>
        <w:rPr>
          <w:rFonts w:ascii="Verdana" w:hAnsi="Verdana"/>
          <w:sz w:val="20"/>
          <w:szCs w:val="20"/>
        </w:rPr>
      </w:pPr>
      <w:r w:rsidRPr="001C6CAB">
        <w:rPr>
          <w:rFonts w:ascii="Verdana" w:hAnsi="Verdana"/>
          <w:sz w:val="20"/>
          <w:szCs w:val="20"/>
        </w:rPr>
        <w:t>1.1.3.</w:t>
      </w:r>
      <w:r>
        <w:rPr>
          <w:rFonts w:ascii="Verdana" w:hAnsi="Verdana"/>
          <w:sz w:val="20"/>
          <w:szCs w:val="20"/>
        </w:rPr>
        <w:t>6</w:t>
      </w:r>
      <w:r w:rsidR="00412DEF">
        <w:rPr>
          <w:rFonts w:ascii="Verdana" w:hAnsi="Verdana"/>
          <w:sz w:val="20"/>
          <w:szCs w:val="20"/>
        </w:rPr>
        <w:t>3</w:t>
      </w:r>
      <w:r w:rsidRPr="001C6CAB">
        <w:rPr>
          <w:rFonts w:ascii="Verdana" w:hAnsi="Verdana"/>
          <w:sz w:val="20"/>
          <w:szCs w:val="20"/>
        </w:rPr>
        <w:t>.</w:t>
      </w:r>
    </w:p>
    <w:p w14:paraId="5C2D8825" w14:textId="1D219870" w:rsidR="002B3025" w:rsidRPr="002B3025" w:rsidRDefault="002B3025" w:rsidP="00B929BB">
      <w:pPr>
        <w:jc w:val="both"/>
        <w:rPr>
          <w:rFonts w:ascii="Verdana" w:hAnsi="Verdana" w:cs="Arial"/>
          <w:bCs/>
          <w:sz w:val="20"/>
          <w:szCs w:val="20"/>
        </w:rPr>
      </w:pPr>
      <w:r w:rsidRPr="002B3025">
        <w:rPr>
          <w:rFonts w:ascii="Verdana" w:hAnsi="Verdana" w:cs="Arial"/>
          <w:bCs/>
          <w:sz w:val="20"/>
          <w:szCs w:val="20"/>
        </w:rPr>
        <w:t>Dejan de causarse intereses, corrección monetaria, ajustes en cambio, cánones e ingresos por otros conceptos, cuando un crédito presente la mora indicada en el siguiente cuadro:</w:t>
      </w:r>
    </w:p>
    <w:tbl>
      <w:tblPr>
        <w:tblW w:w="0" w:type="auto"/>
        <w:tblInd w:w="2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39"/>
        <w:gridCol w:w="1505"/>
      </w:tblGrid>
      <w:tr w:rsidR="002B3025" w:rsidRPr="00C60907" w14:paraId="454DF507" w14:textId="77777777" w:rsidTr="00655892">
        <w:tc>
          <w:tcPr>
            <w:tcW w:w="2039" w:type="dxa"/>
            <w:shd w:val="clear" w:color="auto" w:fill="D1D1D1" w:themeFill="background2" w:themeFillShade="E6"/>
          </w:tcPr>
          <w:p w14:paraId="59CCCB7B" w14:textId="77777777" w:rsidR="002B3025" w:rsidRPr="00C60907" w:rsidRDefault="002B3025" w:rsidP="002704D6">
            <w:pPr>
              <w:spacing w:after="0" w:line="240" w:lineRule="auto"/>
              <w:jc w:val="center"/>
              <w:rPr>
                <w:rFonts w:ascii="Verdana" w:eastAsia="Times New Roman" w:hAnsi="Verdana" w:cs="Arial"/>
                <w:bCs/>
                <w:color w:val="000000"/>
                <w:kern w:val="0"/>
                <w:sz w:val="16"/>
                <w:szCs w:val="16"/>
                <w:lang w:eastAsia="es-CO"/>
                <w14:ligatures w14:val="none"/>
              </w:rPr>
            </w:pPr>
            <w:r w:rsidRPr="00C60907">
              <w:rPr>
                <w:rFonts w:ascii="Verdana" w:eastAsia="Times New Roman" w:hAnsi="Verdana" w:cs="Arial"/>
                <w:bCs/>
                <w:color w:val="000000"/>
                <w:kern w:val="0"/>
                <w:sz w:val="16"/>
                <w:szCs w:val="16"/>
                <w:lang w:eastAsia="es-CO"/>
                <w14:ligatures w14:val="none"/>
              </w:rPr>
              <w:t>Modalidad de crédito</w:t>
            </w:r>
          </w:p>
        </w:tc>
        <w:tc>
          <w:tcPr>
            <w:tcW w:w="1505" w:type="dxa"/>
            <w:shd w:val="clear" w:color="auto" w:fill="D1D1D1" w:themeFill="background2" w:themeFillShade="E6"/>
          </w:tcPr>
          <w:p w14:paraId="20A717EF" w14:textId="77777777" w:rsidR="002B3025" w:rsidRPr="00C60907" w:rsidRDefault="002B3025" w:rsidP="002704D6">
            <w:pPr>
              <w:spacing w:after="0" w:line="240" w:lineRule="auto"/>
              <w:jc w:val="center"/>
              <w:rPr>
                <w:rFonts w:ascii="Verdana" w:eastAsia="Times New Roman" w:hAnsi="Verdana" w:cs="Arial"/>
                <w:bCs/>
                <w:color w:val="000000"/>
                <w:kern w:val="0"/>
                <w:sz w:val="16"/>
                <w:szCs w:val="16"/>
                <w:lang w:eastAsia="es-CO"/>
                <w14:ligatures w14:val="none"/>
              </w:rPr>
            </w:pPr>
            <w:r w:rsidRPr="00C60907">
              <w:rPr>
                <w:rFonts w:ascii="Verdana" w:eastAsia="Times New Roman" w:hAnsi="Verdana" w:cs="Arial"/>
                <w:bCs/>
                <w:color w:val="000000"/>
                <w:kern w:val="0"/>
                <w:sz w:val="16"/>
                <w:szCs w:val="16"/>
                <w:lang w:eastAsia="es-CO"/>
                <w14:ligatures w14:val="none"/>
              </w:rPr>
              <w:t>Mora superior a</w:t>
            </w:r>
          </w:p>
        </w:tc>
      </w:tr>
      <w:tr w:rsidR="002B3025" w:rsidRPr="00C60907" w14:paraId="6C109AE7" w14:textId="77777777">
        <w:tc>
          <w:tcPr>
            <w:tcW w:w="2039" w:type="dxa"/>
          </w:tcPr>
          <w:p w14:paraId="5ABDF924" w14:textId="77777777" w:rsidR="002B3025" w:rsidRPr="00C60907" w:rsidRDefault="002B3025" w:rsidP="002704D6">
            <w:pPr>
              <w:spacing w:after="0" w:line="240" w:lineRule="auto"/>
              <w:jc w:val="center"/>
              <w:rPr>
                <w:rFonts w:ascii="Verdana" w:eastAsia="Times New Roman" w:hAnsi="Verdana" w:cs="Arial"/>
                <w:bCs/>
                <w:color w:val="000000"/>
                <w:kern w:val="0"/>
                <w:sz w:val="16"/>
                <w:szCs w:val="16"/>
                <w:lang w:eastAsia="es-CO"/>
                <w14:ligatures w14:val="none"/>
              </w:rPr>
            </w:pPr>
            <w:r w:rsidRPr="00C60907">
              <w:rPr>
                <w:rFonts w:ascii="Verdana" w:eastAsia="Times New Roman" w:hAnsi="Verdana" w:cs="Arial"/>
                <w:bCs/>
                <w:color w:val="000000"/>
                <w:kern w:val="0"/>
                <w:sz w:val="16"/>
                <w:szCs w:val="16"/>
                <w:lang w:eastAsia="es-CO"/>
                <w14:ligatures w14:val="none"/>
              </w:rPr>
              <w:t>Comercial</w:t>
            </w:r>
          </w:p>
        </w:tc>
        <w:tc>
          <w:tcPr>
            <w:tcW w:w="1505" w:type="dxa"/>
          </w:tcPr>
          <w:p w14:paraId="450BADA0" w14:textId="77777777" w:rsidR="002B3025" w:rsidRPr="00C60907" w:rsidRDefault="002B3025" w:rsidP="002704D6">
            <w:pPr>
              <w:spacing w:after="0" w:line="240" w:lineRule="auto"/>
              <w:jc w:val="center"/>
              <w:rPr>
                <w:rFonts w:ascii="Verdana" w:eastAsia="Times New Roman" w:hAnsi="Verdana" w:cs="Arial"/>
                <w:bCs/>
                <w:color w:val="000000"/>
                <w:kern w:val="0"/>
                <w:sz w:val="16"/>
                <w:szCs w:val="16"/>
                <w:lang w:eastAsia="es-CO"/>
                <w14:ligatures w14:val="none"/>
              </w:rPr>
            </w:pPr>
            <w:r w:rsidRPr="00C60907">
              <w:rPr>
                <w:rFonts w:ascii="Verdana" w:eastAsia="Times New Roman" w:hAnsi="Verdana" w:cs="Arial"/>
                <w:bCs/>
                <w:color w:val="000000"/>
                <w:kern w:val="0"/>
                <w:sz w:val="16"/>
                <w:szCs w:val="16"/>
                <w:lang w:eastAsia="es-CO"/>
                <w14:ligatures w14:val="none"/>
              </w:rPr>
              <w:t>3 meses</w:t>
            </w:r>
          </w:p>
        </w:tc>
      </w:tr>
      <w:tr w:rsidR="002B3025" w:rsidRPr="00C60907" w14:paraId="0261F36F" w14:textId="77777777">
        <w:tc>
          <w:tcPr>
            <w:tcW w:w="2039" w:type="dxa"/>
          </w:tcPr>
          <w:p w14:paraId="54139092" w14:textId="77777777" w:rsidR="002B3025" w:rsidRPr="00C60907" w:rsidRDefault="002B3025" w:rsidP="002704D6">
            <w:pPr>
              <w:spacing w:after="0" w:line="240" w:lineRule="auto"/>
              <w:jc w:val="center"/>
              <w:rPr>
                <w:rFonts w:ascii="Verdana" w:eastAsia="Times New Roman" w:hAnsi="Verdana" w:cs="Arial"/>
                <w:bCs/>
                <w:color w:val="000000"/>
                <w:kern w:val="0"/>
                <w:sz w:val="16"/>
                <w:szCs w:val="16"/>
                <w:lang w:eastAsia="es-CO"/>
                <w14:ligatures w14:val="none"/>
              </w:rPr>
            </w:pPr>
            <w:r w:rsidRPr="00C60907">
              <w:rPr>
                <w:rFonts w:ascii="Verdana" w:eastAsia="Times New Roman" w:hAnsi="Verdana" w:cs="Arial"/>
                <w:bCs/>
                <w:color w:val="000000"/>
                <w:kern w:val="0"/>
                <w:sz w:val="16"/>
                <w:szCs w:val="16"/>
                <w:lang w:eastAsia="es-CO"/>
                <w14:ligatures w14:val="none"/>
              </w:rPr>
              <w:t>Consumo</w:t>
            </w:r>
          </w:p>
        </w:tc>
        <w:tc>
          <w:tcPr>
            <w:tcW w:w="1505" w:type="dxa"/>
          </w:tcPr>
          <w:p w14:paraId="0D9E063C" w14:textId="77777777" w:rsidR="002B3025" w:rsidRPr="00C60907" w:rsidRDefault="002B3025" w:rsidP="002704D6">
            <w:pPr>
              <w:spacing w:after="0" w:line="240" w:lineRule="auto"/>
              <w:jc w:val="center"/>
              <w:rPr>
                <w:rFonts w:ascii="Verdana" w:eastAsia="Times New Roman" w:hAnsi="Verdana" w:cs="Arial"/>
                <w:bCs/>
                <w:color w:val="000000"/>
                <w:kern w:val="0"/>
                <w:sz w:val="16"/>
                <w:szCs w:val="16"/>
                <w:lang w:eastAsia="es-CO"/>
                <w14:ligatures w14:val="none"/>
              </w:rPr>
            </w:pPr>
            <w:r w:rsidRPr="00C60907">
              <w:rPr>
                <w:rFonts w:ascii="Verdana" w:eastAsia="Times New Roman" w:hAnsi="Verdana" w:cs="Arial"/>
                <w:bCs/>
                <w:color w:val="000000"/>
                <w:kern w:val="0"/>
                <w:sz w:val="16"/>
                <w:szCs w:val="16"/>
                <w:lang w:eastAsia="es-CO"/>
                <w14:ligatures w14:val="none"/>
              </w:rPr>
              <w:t>2 meses</w:t>
            </w:r>
          </w:p>
        </w:tc>
      </w:tr>
      <w:tr w:rsidR="002B3025" w:rsidRPr="00C60907" w14:paraId="1E67A583" w14:textId="77777777">
        <w:tc>
          <w:tcPr>
            <w:tcW w:w="2039" w:type="dxa"/>
          </w:tcPr>
          <w:p w14:paraId="02C48F51" w14:textId="77777777" w:rsidR="002B3025" w:rsidRPr="00C60907" w:rsidRDefault="002B3025" w:rsidP="002704D6">
            <w:pPr>
              <w:spacing w:after="0" w:line="240" w:lineRule="auto"/>
              <w:jc w:val="center"/>
              <w:rPr>
                <w:rFonts w:ascii="Verdana" w:eastAsia="Times New Roman" w:hAnsi="Verdana" w:cs="Arial"/>
                <w:bCs/>
                <w:color w:val="000000"/>
                <w:kern w:val="0"/>
                <w:sz w:val="16"/>
                <w:szCs w:val="16"/>
                <w:lang w:eastAsia="es-CO"/>
                <w14:ligatures w14:val="none"/>
              </w:rPr>
            </w:pPr>
            <w:r w:rsidRPr="00C60907">
              <w:rPr>
                <w:rFonts w:ascii="Verdana" w:eastAsia="Times New Roman" w:hAnsi="Verdana" w:cs="Arial"/>
                <w:bCs/>
                <w:color w:val="000000"/>
                <w:kern w:val="0"/>
                <w:sz w:val="16"/>
                <w:szCs w:val="16"/>
                <w:lang w:eastAsia="es-CO"/>
                <w14:ligatures w14:val="none"/>
              </w:rPr>
              <w:t>Vivienda</w:t>
            </w:r>
          </w:p>
        </w:tc>
        <w:tc>
          <w:tcPr>
            <w:tcW w:w="1505" w:type="dxa"/>
          </w:tcPr>
          <w:p w14:paraId="49BACD6D" w14:textId="77777777" w:rsidR="002B3025" w:rsidRPr="00C60907" w:rsidRDefault="002B3025" w:rsidP="002704D6">
            <w:pPr>
              <w:spacing w:after="0" w:line="240" w:lineRule="auto"/>
              <w:jc w:val="center"/>
              <w:rPr>
                <w:rFonts w:ascii="Verdana" w:eastAsia="Times New Roman" w:hAnsi="Verdana" w:cs="Arial"/>
                <w:bCs/>
                <w:color w:val="000000"/>
                <w:kern w:val="0"/>
                <w:sz w:val="16"/>
                <w:szCs w:val="16"/>
                <w:lang w:eastAsia="es-CO"/>
                <w14:ligatures w14:val="none"/>
              </w:rPr>
            </w:pPr>
            <w:r w:rsidRPr="00C60907">
              <w:rPr>
                <w:rFonts w:ascii="Verdana" w:eastAsia="Times New Roman" w:hAnsi="Verdana" w:cs="Arial"/>
                <w:bCs/>
                <w:color w:val="000000"/>
                <w:kern w:val="0"/>
                <w:sz w:val="16"/>
                <w:szCs w:val="16"/>
                <w:lang w:eastAsia="es-CO"/>
                <w14:ligatures w14:val="none"/>
              </w:rPr>
              <w:t>2 meses</w:t>
            </w:r>
          </w:p>
        </w:tc>
      </w:tr>
      <w:tr w:rsidR="002B3025" w:rsidRPr="00C60907" w14:paraId="0098D504" w14:textId="77777777">
        <w:tc>
          <w:tcPr>
            <w:tcW w:w="2039" w:type="dxa"/>
          </w:tcPr>
          <w:p w14:paraId="09455967" w14:textId="77777777" w:rsidR="002B3025" w:rsidRPr="00C60907" w:rsidRDefault="002B3025" w:rsidP="002704D6">
            <w:pPr>
              <w:spacing w:after="0" w:line="240" w:lineRule="auto"/>
              <w:jc w:val="center"/>
              <w:rPr>
                <w:rFonts w:ascii="Verdana" w:eastAsia="Times New Roman" w:hAnsi="Verdana" w:cs="Arial"/>
                <w:bCs/>
                <w:color w:val="000000"/>
                <w:kern w:val="0"/>
                <w:sz w:val="16"/>
                <w:szCs w:val="16"/>
                <w:lang w:eastAsia="es-CO"/>
                <w14:ligatures w14:val="none"/>
              </w:rPr>
            </w:pPr>
            <w:r w:rsidRPr="00C60907">
              <w:rPr>
                <w:rFonts w:ascii="Verdana" w:eastAsia="Times New Roman" w:hAnsi="Verdana" w:cs="Arial"/>
                <w:bCs/>
                <w:color w:val="000000"/>
                <w:kern w:val="0"/>
                <w:sz w:val="16"/>
                <w:szCs w:val="16"/>
                <w:lang w:eastAsia="es-CO"/>
                <w14:ligatures w14:val="none"/>
              </w:rPr>
              <w:t>Microcrédito</w:t>
            </w:r>
          </w:p>
        </w:tc>
        <w:tc>
          <w:tcPr>
            <w:tcW w:w="1505" w:type="dxa"/>
          </w:tcPr>
          <w:p w14:paraId="44836A7B" w14:textId="77777777" w:rsidR="002B3025" w:rsidRPr="00C60907" w:rsidRDefault="002B3025" w:rsidP="002704D6">
            <w:pPr>
              <w:spacing w:after="0" w:line="240" w:lineRule="auto"/>
              <w:jc w:val="center"/>
              <w:rPr>
                <w:rFonts w:ascii="Verdana" w:eastAsia="Times New Roman" w:hAnsi="Verdana" w:cs="Arial"/>
                <w:bCs/>
                <w:color w:val="000000"/>
                <w:kern w:val="0"/>
                <w:sz w:val="16"/>
                <w:szCs w:val="16"/>
                <w:lang w:eastAsia="es-CO"/>
                <w14:ligatures w14:val="none"/>
              </w:rPr>
            </w:pPr>
            <w:r w:rsidRPr="00C60907">
              <w:rPr>
                <w:rFonts w:ascii="Verdana" w:eastAsia="Times New Roman" w:hAnsi="Verdana" w:cs="Arial"/>
                <w:bCs/>
                <w:color w:val="000000"/>
                <w:kern w:val="0"/>
                <w:sz w:val="16"/>
                <w:szCs w:val="16"/>
                <w:lang w:eastAsia="es-CO"/>
                <w14:ligatures w14:val="none"/>
              </w:rPr>
              <w:t>1 mes</w:t>
            </w:r>
          </w:p>
        </w:tc>
      </w:tr>
    </w:tbl>
    <w:p w14:paraId="51B80923" w14:textId="77777777" w:rsidR="00C60907" w:rsidRDefault="00C60907" w:rsidP="00CF37F9">
      <w:pPr>
        <w:spacing w:after="0"/>
        <w:rPr>
          <w:rFonts w:ascii="Verdana" w:hAnsi="Verdana"/>
          <w:sz w:val="20"/>
          <w:szCs w:val="20"/>
        </w:rPr>
      </w:pPr>
    </w:p>
    <w:p w14:paraId="184EF0B4" w14:textId="77777777" w:rsidR="00D90B13" w:rsidRDefault="00D90B13" w:rsidP="00CF37F9">
      <w:pPr>
        <w:spacing w:after="0"/>
        <w:rPr>
          <w:rFonts w:ascii="Verdana" w:hAnsi="Verdana"/>
          <w:sz w:val="20"/>
          <w:szCs w:val="20"/>
        </w:rPr>
      </w:pPr>
    </w:p>
    <w:p w14:paraId="2EC44F6D" w14:textId="77777777" w:rsidR="00D90B13" w:rsidRDefault="00D90B13" w:rsidP="00CF37F9">
      <w:pPr>
        <w:spacing w:after="0"/>
        <w:rPr>
          <w:rFonts w:ascii="Verdana" w:hAnsi="Verdana"/>
          <w:sz w:val="20"/>
          <w:szCs w:val="20"/>
        </w:rPr>
      </w:pPr>
    </w:p>
    <w:p w14:paraId="38D1F117" w14:textId="70E22578" w:rsidR="00CF37F9" w:rsidRPr="001C6CAB" w:rsidRDefault="00CF37F9" w:rsidP="00CF37F9">
      <w:pPr>
        <w:spacing w:after="0"/>
        <w:rPr>
          <w:rFonts w:ascii="Verdana" w:hAnsi="Verdana"/>
          <w:sz w:val="20"/>
          <w:szCs w:val="20"/>
        </w:rPr>
      </w:pPr>
      <w:r w:rsidRPr="001C6CAB">
        <w:rPr>
          <w:rFonts w:ascii="Verdana" w:hAnsi="Verdana"/>
          <w:sz w:val="20"/>
          <w:szCs w:val="20"/>
        </w:rPr>
        <w:lastRenderedPageBreak/>
        <w:t>1.1.3.</w:t>
      </w:r>
      <w:r w:rsidR="00553807">
        <w:rPr>
          <w:rFonts w:ascii="Verdana" w:hAnsi="Verdana"/>
          <w:sz w:val="20"/>
          <w:szCs w:val="20"/>
        </w:rPr>
        <w:t>6</w:t>
      </w:r>
      <w:r w:rsidR="00412DEF">
        <w:rPr>
          <w:rFonts w:ascii="Verdana" w:hAnsi="Verdana"/>
          <w:sz w:val="20"/>
          <w:szCs w:val="20"/>
        </w:rPr>
        <w:t>4</w:t>
      </w:r>
      <w:r w:rsidRPr="001C6CAB">
        <w:rPr>
          <w:rFonts w:ascii="Verdana" w:hAnsi="Verdana"/>
          <w:sz w:val="20"/>
          <w:szCs w:val="20"/>
        </w:rPr>
        <w:t>.</w:t>
      </w:r>
    </w:p>
    <w:p w14:paraId="398FC81B" w14:textId="14978423" w:rsidR="002B3025" w:rsidRPr="002B3025" w:rsidRDefault="002B3025" w:rsidP="12B437D6">
      <w:pPr>
        <w:jc w:val="both"/>
        <w:rPr>
          <w:rFonts w:ascii="Verdana" w:hAnsi="Verdana" w:cs="Arial"/>
          <w:sz w:val="20"/>
          <w:szCs w:val="20"/>
        </w:rPr>
      </w:pPr>
      <w:r w:rsidRPr="12B437D6">
        <w:rPr>
          <w:rFonts w:ascii="Verdana" w:hAnsi="Verdana" w:cs="Arial"/>
          <w:sz w:val="20"/>
          <w:szCs w:val="20"/>
        </w:rPr>
        <w:t xml:space="preserve">Por lo tanto, no </w:t>
      </w:r>
      <w:r w:rsidR="004C3C10">
        <w:rPr>
          <w:rFonts w:ascii="Verdana" w:hAnsi="Verdana" w:cs="Arial"/>
          <w:sz w:val="20"/>
          <w:szCs w:val="20"/>
        </w:rPr>
        <w:t xml:space="preserve">pueden </w:t>
      </w:r>
      <w:r w:rsidRPr="12B437D6">
        <w:rPr>
          <w:rFonts w:ascii="Verdana" w:hAnsi="Verdana" w:cs="Arial"/>
          <w:sz w:val="20"/>
          <w:szCs w:val="20"/>
        </w:rPr>
        <w:t>afecta</w:t>
      </w:r>
      <w:r w:rsidR="004C3C10">
        <w:rPr>
          <w:rFonts w:ascii="Verdana" w:hAnsi="Verdana" w:cs="Arial"/>
          <w:sz w:val="20"/>
          <w:szCs w:val="20"/>
        </w:rPr>
        <w:t xml:space="preserve">r </w:t>
      </w:r>
      <w:r w:rsidRPr="12B437D6">
        <w:rPr>
          <w:rFonts w:ascii="Verdana" w:hAnsi="Verdana" w:cs="Arial"/>
          <w:sz w:val="20"/>
          <w:szCs w:val="20"/>
        </w:rPr>
        <w:t xml:space="preserve">el estado de resultados hasta que </w:t>
      </w:r>
      <w:r w:rsidR="004C3C10">
        <w:rPr>
          <w:rFonts w:ascii="Verdana" w:hAnsi="Verdana" w:cs="Arial"/>
          <w:sz w:val="20"/>
          <w:szCs w:val="20"/>
        </w:rPr>
        <w:t xml:space="preserve">tales ingresos </w:t>
      </w:r>
      <w:r w:rsidRPr="12B437D6">
        <w:rPr>
          <w:rFonts w:ascii="Verdana" w:hAnsi="Verdana" w:cs="Arial"/>
          <w:sz w:val="20"/>
          <w:szCs w:val="20"/>
        </w:rPr>
        <w:t xml:space="preserve">sean efectivamente recaudados. Mientras se produce su recaudo, el registro correspondiente se debe efectuar en cuentas </w:t>
      </w:r>
      <w:r w:rsidR="004C3C10">
        <w:rPr>
          <w:rFonts w:ascii="Verdana" w:hAnsi="Verdana" w:cs="Arial"/>
          <w:sz w:val="20"/>
          <w:szCs w:val="20"/>
        </w:rPr>
        <w:t xml:space="preserve">contingentes o </w:t>
      </w:r>
      <w:r w:rsidRPr="12B437D6">
        <w:rPr>
          <w:rFonts w:ascii="Verdana" w:hAnsi="Verdana" w:cs="Arial"/>
          <w:sz w:val="20"/>
          <w:szCs w:val="20"/>
        </w:rPr>
        <w:t>de revelación de información financiera. La SFC podrá ordenar la suspensión de la causación de ingresos cuando un crédito haya sido reestructurado más de una vez.</w:t>
      </w:r>
    </w:p>
    <w:p w14:paraId="6D8F2B4F" w14:textId="1B7BF0A1" w:rsidR="00CF37F9" w:rsidRPr="001C6CAB" w:rsidRDefault="00CF37F9" w:rsidP="00CF37F9">
      <w:pPr>
        <w:spacing w:after="0"/>
        <w:rPr>
          <w:rFonts w:ascii="Verdana" w:hAnsi="Verdana"/>
          <w:sz w:val="20"/>
          <w:szCs w:val="20"/>
        </w:rPr>
      </w:pPr>
      <w:r w:rsidRPr="001C6CAB">
        <w:rPr>
          <w:rFonts w:ascii="Verdana" w:hAnsi="Verdana"/>
          <w:sz w:val="20"/>
          <w:szCs w:val="20"/>
        </w:rPr>
        <w:t>1.1.3.</w:t>
      </w:r>
      <w:r>
        <w:rPr>
          <w:rFonts w:ascii="Verdana" w:hAnsi="Verdana"/>
          <w:sz w:val="20"/>
          <w:szCs w:val="20"/>
        </w:rPr>
        <w:t>6</w:t>
      </w:r>
      <w:r w:rsidR="00412DEF">
        <w:rPr>
          <w:rFonts w:ascii="Verdana" w:hAnsi="Verdana"/>
          <w:sz w:val="20"/>
          <w:szCs w:val="20"/>
        </w:rPr>
        <w:t>5</w:t>
      </w:r>
      <w:r w:rsidRPr="001C6CAB">
        <w:rPr>
          <w:rFonts w:ascii="Verdana" w:hAnsi="Verdana"/>
          <w:sz w:val="20"/>
          <w:szCs w:val="20"/>
        </w:rPr>
        <w:t>.</w:t>
      </w:r>
    </w:p>
    <w:p w14:paraId="45386513" w14:textId="0E1C1ECF" w:rsidR="002B3DE5" w:rsidRDefault="002B3025" w:rsidP="12B437D6">
      <w:pPr>
        <w:jc w:val="both"/>
        <w:rPr>
          <w:rFonts w:ascii="Verdana" w:hAnsi="Verdana" w:cs="Arial"/>
          <w:sz w:val="20"/>
          <w:szCs w:val="20"/>
        </w:rPr>
      </w:pPr>
      <w:r w:rsidRPr="12B437D6">
        <w:rPr>
          <w:rFonts w:ascii="Verdana" w:hAnsi="Verdana" w:cs="Arial"/>
          <w:sz w:val="20"/>
          <w:szCs w:val="20"/>
        </w:rPr>
        <w:t xml:space="preserve">En aquellos casos en que, como producto de acuerdos de reestructuración o cualquier otra modalidad de acuerdo, se contemple la capitalización de intereses que se encuentren registrados en cuentas </w:t>
      </w:r>
      <w:r w:rsidR="00526F4B">
        <w:rPr>
          <w:rFonts w:ascii="Verdana" w:hAnsi="Verdana" w:cs="Arial"/>
          <w:sz w:val="20"/>
          <w:szCs w:val="20"/>
        </w:rPr>
        <w:t xml:space="preserve">contingentes o </w:t>
      </w:r>
      <w:r w:rsidRPr="12B437D6">
        <w:rPr>
          <w:rFonts w:ascii="Verdana" w:hAnsi="Verdana" w:cs="Arial"/>
          <w:sz w:val="20"/>
          <w:szCs w:val="20"/>
        </w:rPr>
        <w:t xml:space="preserve">de revelación de información financiera del CUIF o de los saldos de cartera castigada incluido </w:t>
      </w:r>
      <w:r w:rsidR="00526F4B">
        <w:rPr>
          <w:rFonts w:ascii="Verdana" w:hAnsi="Verdana" w:cs="Arial"/>
          <w:sz w:val="20"/>
          <w:szCs w:val="20"/>
        </w:rPr>
        <w:t xml:space="preserve">el </w:t>
      </w:r>
      <w:r w:rsidRPr="12B437D6">
        <w:rPr>
          <w:rFonts w:ascii="Verdana" w:hAnsi="Verdana" w:cs="Arial"/>
          <w:sz w:val="20"/>
          <w:szCs w:val="20"/>
        </w:rPr>
        <w:t xml:space="preserve">capital, intereses y otros conceptos, </w:t>
      </w:r>
      <w:r w:rsidR="00526F4B">
        <w:rPr>
          <w:rFonts w:ascii="Verdana" w:hAnsi="Verdana" w:cs="Arial"/>
          <w:sz w:val="20"/>
          <w:szCs w:val="20"/>
        </w:rPr>
        <w:t xml:space="preserve">éstos </w:t>
      </w:r>
      <w:r w:rsidRPr="12B437D6">
        <w:rPr>
          <w:rFonts w:ascii="Verdana" w:hAnsi="Verdana" w:cs="Arial"/>
          <w:sz w:val="20"/>
          <w:szCs w:val="20"/>
        </w:rPr>
        <w:t xml:space="preserve">se </w:t>
      </w:r>
      <w:r w:rsidR="00526F4B">
        <w:rPr>
          <w:rFonts w:ascii="Verdana" w:hAnsi="Verdana" w:cs="Arial"/>
          <w:sz w:val="20"/>
          <w:szCs w:val="20"/>
        </w:rPr>
        <w:t xml:space="preserve">deben </w:t>
      </w:r>
      <w:r w:rsidRPr="12B437D6">
        <w:rPr>
          <w:rFonts w:ascii="Verdana" w:hAnsi="Verdana" w:cs="Arial"/>
          <w:sz w:val="20"/>
          <w:szCs w:val="20"/>
        </w:rPr>
        <w:t>contabiliza</w:t>
      </w:r>
      <w:r w:rsidR="00526F4B">
        <w:rPr>
          <w:rFonts w:ascii="Verdana" w:hAnsi="Verdana" w:cs="Arial"/>
          <w:sz w:val="20"/>
          <w:szCs w:val="20"/>
        </w:rPr>
        <w:t>r</w:t>
      </w:r>
      <w:r w:rsidRPr="12B437D6">
        <w:rPr>
          <w:rFonts w:ascii="Verdana" w:hAnsi="Verdana" w:cs="Arial"/>
          <w:sz w:val="20"/>
          <w:szCs w:val="20"/>
        </w:rPr>
        <w:t xml:space="preserve"> como abono diferido en el </w:t>
      </w:r>
      <w:r w:rsidR="00805384">
        <w:rPr>
          <w:rFonts w:ascii="Verdana" w:hAnsi="Verdana" w:cs="Arial"/>
          <w:sz w:val="20"/>
          <w:szCs w:val="20"/>
        </w:rPr>
        <w:t>c</w:t>
      </w:r>
      <w:r w:rsidRPr="12B437D6">
        <w:rPr>
          <w:rFonts w:ascii="Verdana" w:hAnsi="Verdana" w:cs="Arial"/>
          <w:sz w:val="20"/>
          <w:szCs w:val="20"/>
        </w:rPr>
        <w:t xml:space="preserve">ódigo </w:t>
      </w:r>
      <w:r w:rsidR="003277FA">
        <w:rPr>
          <w:rFonts w:ascii="Verdana" w:hAnsi="Verdana" w:cs="Arial"/>
          <w:sz w:val="20"/>
          <w:szCs w:val="20"/>
        </w:rPr>
        <w:t xml:space="preserve">CUIF </w:t>
      </w:r>
      <w:r w:rsidRPr="12B437D6">
        <w:rPr>
          <w:rFonts w:ascii="Verdana" w:hAnsi="Verdana" w:cs="Arial"/>
          <w:sz w:val="20"/>
          <w:szCs w:val="20"/>
        </w:rPr>
        <w:t xml:space="preserve">2908, y su amortización al estado de resultados se </w:t>
      </w:r>
      <w:r w:rsidR="00655851">
        <w:rPr>
          <w:rFonts w:ascii="Verdana" w:hAnsi="Verdana" w:cs="Arial"/>
          <w:sz w:val="20"/>
          <w:szCs w:val="20"/>
        </w:rPr>
        <w:t xml:space="preserve">debe efectuar </w:t>
      </w:r>
      <w:r w:rsidRPr="12B437D6">
        <w:rPr>
          <w:rFonts w:ascii="Verdana" w:hAnsi="Verdana" w:cs="Arial"/>
          <w:sz w:val="20"/>
          <w:szCs w:val="20"/>
        </w:rPr>
        <w:t>en forma proporcional a los valores efectivamente recaudados.</w:t>
      </w:r>
    </w:p>
    <w:p w14:paraId="20547595" w14:textId="3C4FB7DF" w:rsidR="002B3025" w:rsidRPr="00063484" w:rsidRDefault="002B3025" w:rsidP="00551D66">
      <w:pPr>
        <w:pStyle w:val="Prrafodelista"/>
        <w:numPr>
          <w:ilvl w:val="0"/>
          <w:numId w:val="39"/>
        </w:numPr>
        <w:tabs>
          <w:tab w:val="right" w:pos="540"/>
        </w:tabs>
        <w:spacing w:after="0" w:line="240" w:lineRule="auto"/>
        <w:ind w:left="284" w:hanging="284"/>
        <w:contextualSpacing w:val="0"/>
        <w:jc w:val="both"/>
        <w:rPr>
          <w:rFonts w:ascii="Verdana" w:hAnsi="Verdana" w:cs="Arial"/>
          <w:b/>
          <w:sz w:val="20"/>
          <w:szCs w:val="20"/>
        </w:rPr>
      </w:pPr>
      <w:r w:rsidRPr="00063484">
        <w:rPr>
          <w:rFonts w:ascii="Verdana" w:hAnsi="Verdana" w:cs="Arial"/>
          <w:b/>
          <w:sz w:val="20"/>
          <w:szCs w:val="20"/>
        </w:rPr>
        <w:t xml:space="preserve">Contabilización de </w:t>
      </w:r>
      <w:r w:rsidR="00956BC0" w:rsidRPr="00063484">
        <w:rPr>
          <w:rFonts w:ascii="Verdana" w:hAnsi="Verdana" w:cs="Arial"/>
          <w:b/>
          <w:sz w:val="20"/>
          <w:szCs w:val="20"/>
        </w:rPr>
        <w:t>c</w:t>
      </w:r>
      <w:r w:rsidRPr="00063484">
        <w:rPr>
          <w:rFonts w:ascii="Verdana" w:hAnsi="Verdana" w:cs="Arial"/>
          <w:b/>
          <w:sz w:val="20"/>
          <w:szCs w:val="20"/>
        </w:rPr>
        <w:t>réditos que al menos una vez hayan dejado de causar intereses, corrección monetaria, ajustes en cambio, cánones e ingresos por otros conceptos</w:t>
      </w:r>
    </w:p>
    <w:p w14:paraId="0E162068" w14:textId="77777777" w:rsidR="00956BC0" w:rsidRDefault="00956BC0" w:rsidP="00956BC0">
      <w:pPr>
        <w:spacing w:after="0"/>
        <w:rPr>
          <w:rFonts w:ascii="Verdana" w:hAnsi="Verdana"/>
          <w:sz w:val="20"/>
          <w:szCs w:val="20"/>
        </w:rPr>
      </w:pPr>
    </w:p>
    <w:p w14:paraId="1E0CFAEE" w14:textId="277763A6" w:rsidR="00956BC0" w:rsidRPr="001C6CAB" w:rsidRDefault="00956BC0" w:rsidP="00956BC0">
      <w:pPr>
        <w:spacing w:after="0"/>
        <w:rPr>
          <w:rFonts w:ascii="Verdana" w:hAnsi="Verdana"/>
          <w:sz w:val="20"/>
          <w:szCs w:val="20"/>
        </w:rPr>
      </w:pPr>
      <w:r w:rsidRPr="001C6CAB">
        <w:rPr>
          <w:rFonts w:ascii="Verdana" w:hAnsi="Verdana"/>
          <w:sz w:val="20"/>
          <w:szCs w:val="20"/>
        </w:rPr>
        <w:t>1.1.3.</w:t>
      </w:r>
      <w:r w:rsidR="00412DEF">
        <w:rPr>
          <w:rFonts w:ascii="Verdana" w:hAnsi="Verdana"/>
          <w:sz w:val="20"/>
          <w:szCs w:val="20"/>
        </w:rPr>
        <w:t>6</w:t>
      </w:r>
      <w:r w:rsidR="00063484">
        <w:rPr>
          <w:rFonts w:ascii="Verdana" w:hAnsi="Verdana"/>
          <w:sz w:val="20"/>
          <w:szCs w:val="20"/>
        </w:rPr>
        <w:t>6</w:t>
      </w:r>
      <w:r w:rsidRPr="001C6CAB">
        <w:rPr>
          <w:rFonts w:ascii="Verdana" w:hAnsi="Verdana"/>
          <w:sz w:val="20"/>
          <w:szCs w:val="20"/>
        </w:rPr>
        <w:t>.</w:t>
      </w:r>
    </w:p>
    <w:p w14:paraId="34951195" w14:textId="7F7FB4DE" w:rsidR="002B3025" w:rsidRPr="002B3025" w:rsidRDefault="002B3025" w:rsidP="00B929BB">
      <w:pPr>
        <w:tabs>
          <w:tab w:val="left" w:pos="709"/>
        </w:tabs>
        <w:jc w:val="both"/>
        <w:rPr>
          <w:rFonts w:ascii="Verdana" w:hAnsi="Verdana" w:cs="Arial"/>
          <w:bCs/>
          <w:sz w:val="20"/>
          <w:szCs w:val="20"/>
        </w:rPr>
      </w:pPr>
      <w:r w:rsidRPr="002B3025">
        <w:rPr>
          <w:rFonts w:ascii="Verdana" w:hAnsi="Verdana" w:cs="Arial"/>
          <w:bCs/>
          <w:sz w:val="20"/>
          <w:szCs w:val="20"/>
        </w:rPr>
        <w:t xml:space="preserve">Aquellos créditos que entren en mora y que alguna vez hayan dejado de causar intereses, corrección monetaria, ajustes en cambio, cánones e ingresos por otros conceptos, dejan de causar dichos ingresos desde el primer día de mora. Una vez se pongan al día pueden volver a causar. Mientras se produce su recaudo, el registro correspondiente se </w:t>
      </w:r>
      <w:r w:rsidR="007331D9">
        <w:rPr>
          <w:rFonts w:ascii="Verdana" w:hAnsi="Verdana" w:cs="Arial"/>
          <w:bCs/>
          <w:sz w:val="20"/>
          <w:szCs w:val="20"/>
        </w:rPr>
        <w:t xml:space="preserve">debe </w:t>
      </w:r>
      <w:r w:rsidR="00653E2E">
        <w:rPr>
          <w:rFonts w:ascii="Verdana" w:hAnsi="Verdana" w:cs="Arial"/>
          <w:bCs/>
          <w:sz w:val="20"/>
          <w:szCs w:val="20"/>
        </w:rPr>
        <w:t xml:space="preserve">efectuar </w:t>
      </w:r>
      <w:r w:rsidR="00612128">
        <w:rPr>
          <w:rFonts w:ascii="Verdana" w:hAnsi="Verdana" w:cs="Arial"/>
          <w:bCs/>
          <w:sz w:val="20"/>
          <w:szCs w:val="20"/>
        </w:rPr>
        <w:t xml:space="preserve">a través de </w:t>
      </w:r>
      <w:r w:rsidRPr="002B3025">
        <w:rPr>
          <w:rFonts w:ascii="Verdana" w:hAnsi="Verdana" w:cs="Arial"/>
          <w:bCs/>
          <w:sz w:val="20"/>
          <w:szCs w:val="20"/>
        </w:rPr>
        <w:t xml:space="preserve">cuentas </w:t>
      </w:r>
      <w:r w:rsidR="00612128">
        <w:rPr>
          <w:rFonts w:ascii="Verdana" w:hAnsi="Verdana" w:cs="Arial"/>
          <w:bCs/>
          <w:sz w:val="20"/>
          <w:szCs w:val="20"/>
        </w:rPr>
        <w:t xml:space="preserve">contingentes y </w:t>
      </w:r>
      <w:r w:rsidRPr="002B3025">
        <w:rPr>
          <w:rFonts w:ascii="Verdana" w:hAnsi="Verdana" w:cs="Arial"/>
          <w:bCs/>
          <w:sz w:val="20"/>
          <w:szCs w:val="20"/>
        </w:rPr>
        <w:t>de revelación de información financiera del CUIF.</w:t>
      </w:r>
    </w:p>
    <w:p w14:paraId="72A64D55" w14:textId="0DD23A27" w:rsidR="007C6B08" w:rsidRPr="001C6CAB" w:rsidRDefault="007C6B08" w:rsidP="007C6B08">
      <w:pPr>
        <w:spacing w:after="0"/>
        <w:rPr>
          <w:rFonts w:ascii="Verdana" w:hAnsi="Verdana"/>
          <w:sz w:val="20"/>
          <w:szCs w:val="20"/>
        </w:rPr>
      </w:pPr>
      <w:r w:rsidRPr="001C6CAB">
        <w:rPr>
          <w:rFonts w:ascii="Verdana" w:hAnsi="Verdana"/>
          <w:sz w:val="20"/>
          <w:szCs w:val="20"/>
        </w:rPr>
        <w:t>1.1.3.</w:t>
      </w:r>
      <w:r w:rsidR="00412DEF">
        <w:rPr>
          <w:rFonts w:ascii="Verdana" w:hAnsi="Verdana"/>
          <w:sz w:val="20"/>
          <w:szCs w:val="20"/>
        </w:rPr>
        <w:t>6</w:t>
      </w:r>
      <w:r w:rsidR="00063484">
        <w:rPr>
          <w:rFonts w:ascii="Verdana" w:hAnsi="Verdana"/>
          <w:sz w:val="20"/>
          <w:szCs w:val="20"/>
        </w:rPr>
        <w:t>7</w:t>
      </w:r>
      <w:r w:rsidRPr="001C6CAB">
        <w:rPr>
          <w:rFonts w:ascii="Verdana" w:hAnsi="Verdana"/>
          <w:sz w:val="20"/>
          <w:szCs w:val="20"/>
        </w:rPr>
        <w:t>.</w:t>
      </w:r>
    </w:p>
    <w:p w14:paraId="31E05491" w14:textId="4DC5257D" w:rsidR="002B3025" w:rsidRPr="002B3025" w:rsidRDefault="002B3025" w:rsidP="12B437D6">
      <w:pPr>
        <w:jc w:val="both"/>
        <w:rPr>
          <w:rFonts w:ascii="Verdana" w:hAnsi="Verdana" w:cs="Arial"/>
          <w:sz w:val="20"/>
          <w:szCs w:val="20"/>
        </w:rPr>
      </w:pPr>
      <w:r w:rsidRPr="12B437D6">
        <w:rPr>
          <w:rFonts w:ascii="Verdana" w:hAnsi="Verdana" w:cs="Arial"/>
          <w:sz w:val="20"/>
          <w:szCs w:val="20"/>
        </w:rPr>
        <w:t>Para que en estos eventos proceda la suspensión de causación de intereses y demás conceptos, se requiere que se presenten simultáneamente dos situaciones: (i) que el crédito se encuentre por lo menos en un día de mora y (ii) que con anterioridad a tal situación, el respectivo crédito hubiere dejado de causar intereses.</w:t>
      </w:r>
    </w:p>
    <w:p w14:paraId="31019A77" w14:textId="082BC02F" w:rsidR="007C6B08" w:rsidRPr="001C6CAB" w:rsidRDefault="007C6B08" w:rsidP="007C6B08">
      <w:pPr>
        <w:spacing w:after="0"/>
        <w:rPr>
          <w:rFonts w:ascii="Verdana" w:hAnsi="Verdana"/>
          <w:sz w:val="20"/>
          <w:szCs w:val="20"/>
        </w:rPr>
      </w:pPr>
      <w:r w:rsidRPr="001C6CAB">
        <w:rPr>
          <w:rFonts w:ascii="Verdana" w:hAnsi="Verdana"/>
          <w:sz w:val="20"/>
          <w:szCs w:val="20"/>
        </w:rPr>
        <w:t>1.1.3.</w:t>
      </w:r>
      <w:r w:rsidR="00412DEF">
        <w:rPr>
          <w:rFonts w:ascii="Verdana" w:hAnsi="Verdana"/>
          <w:sz w:val="20"/>
          <w:szCs w:val="20"/>
        </w:rPr>
        <w:t>6</w:t>
      </w:r>
      <w:r w:rsidR="00063484">
        <w:rPr>
          <w:rFonts w:ascii="Verdana" w:hAnsi="Verdana"/>
          <w:sz w:val="20"/>
          <w:szCs w:val="20"/>
        </w:rPr>
        <w:t>8</w:t>
      </w:r>
      <w:r w:rsidRPr="001C6CAB">
        <w:rPr>
          <w:rFonts w:ascii="Verdana" w:hAnsi="Verdana"/>
          <w:sz w:val="20"/>
          <w:szCs w:val="20"/>
        </w:rPr>
        <w:t>.</w:t>
      </w:r>
    </w:p>
    <w:p w14:paraId="074AC59E" w14:textId="55A47600" w:rsidR="002B3025" w:rsidRPr="002B3025" w:rsidRDefault="002B3025" w:rsidP="12B437D6">
      <w:pPr>
        <w:jc w:val="both"/>
        <w:rPr>
          <w:rFonts w:ascii="Verdana" w:hAnsi="Verdana" w:cs="Arial"/>
          <w:sz w:val="20"/>
          <w:szCs w:val="20"/>
        </w:rPr>
      </w:pPr>
      <w:r w:rsidRPr="0072000F">
        <w:rPr>
          <w:rFonts w:ascii="Verdana" w:hAnsi="Verdana" w:cs="Arial"/>
          <w:sz w:val="20"/>
          <w:szCs w:val="20"/>
        </w:rPr>
        <w:t xml:space="preserve">Lo previsto en </w:t>
      </w:r>
      <w:r w:rsidR="00014E34" w:rsidRPr="0072000F">
        <w:rPr>
          <w:rFonts w:ascii="Verdana" w:hAnsi="Verdana" w:cs="Arial"/>
          <w:sz w:val="20"/>
          <w:szCs w:val="20"/>
        </w:rPr>
        <w:t>los párrafos 1.1.3.6</w:t>
      </w:r>
      <w:r w:rsidR="0072000F" w:rsidRPr="0072000F">
        <w:rPr>
          <w:rFonts w:ascii="Verdana" w:hAnsi="Verdana" w:cs="Arial"/>
          <w:sz w:val="20"/>
          <w:szCs w:val="20"/>
        </w:rPr>
        <w:t>6</w:t>
      </w:r>
      <w:r w:rsidR="00014E34" w:rsidRPr="0072000F">
        <w:rPr>
          <w:rFonts w:ascii="Verdana" w:hAnsi="Verdana" w:cs="Arial"/>
          <w:sz w:val="20"/>
          <w:szCs w:val="20"/>
        </w:rPr>
        <w:t xml:space="preserve"> </w:t>
      </w:r>
      <w:r w:rsidR="0072000F" w:rsidRPr="0072000F">
        <w:rPr>
          <w:rFonts w:ascii="Verdana" w:hAnsi="Verdana" w:cs="Arial"/>
          <w:sz w:val="20"/>
          <w:szCs w:val="20"/>
        </w:rPr>
        <w:t xml:space="preserve">y 1.1.3.67. </w:t>
      </w:r>
      <w:r w:rsidRPr="0072000F">
        <w:rPr>
          <w:rFonts w:ascii="Verdana" w:hAnsi="Verdana" w:cs="Arial"/>
          <w:sz w:val="20"/>
          <w:szCs w:val="20"/>
        </w:rPr>
        <w:t>sólo es aplicable a los créditos a los que se les haya suspendido la causación de</w:t>
      </w:r>
      <w:r w:rsidRPr="12B437D6">
        <w:rPr>
          <w:rFonts w:ascii="Verdana" w:hAnsi="Verdana" w:cs="Arial"/>
          <w:sz w:val="20"/>
          <w:szCs w:val="20"/>
        </w:rPr>
        <w:t xml:space="preserve"> intereses y demás conceptos a partir de marzo de 2002.</w:t>
      </w:r>
    </w:p>
    <w:p w14:paraId="46C7E4AB" w14:textId="5E4CF844" w:rsidR="002B3025" w:rsidRPr="00692B42" w:rsidRDefault="002B3025" w:rsidP="00551D66">
      <w:pPr>
        <w:pStyle w:val="Prrafodelista"/>
        <w:numPr>
          <w:ilvl w:val="0"/>
          <w:numId w:val="39"/>
        </w:numPr>
        <w:tabs>
          <w:tab w:val="right" w:pos="540"/>
        </w:tabs>
        <w:spacing w:after="0" w:line="240" w:lineRule="auto"/>
        <w:ind w:left="284" w:hanging="284"/>
        <w:contextualSpacing w:val="0"/>
        <w:jc w:val="both"/>
        <w:rPr>
          <w:rFonts w:ascii="Verdana" w:hAnsi="Verdana" w:cs="Arial"/>
          <w:b/>
          <w:sz w:val="20"/>
          <w:szCs w:val="20"/>
        </w:rPr>
      </w:pPr>
      <w:r w:rsidRPr="00692B42">
        <w:rPr>
          <w:rFonts w:ascii="Verdana" w:hAnsi="Verdana" w:cs="Arial"/>
          <w:b/>
          <w:sz w:val="20"/>
          <w:szCs w:val="20"/>
        </w:rPr>
        <w:t xml:space="preserve">Regla especial de provisión de cuentas por cobrar (intereses, </w:t>
      </w:r>
      <w:r w:rsidR="00805384">
        <w:rPr>
          <w:rFonts w:ascii="Verdana" w:hAnsi="Verdana" w:cs="Arial"/>
          <w:b/>
          <w:sz w:val="20"/>
          <w:szCs w:val="20"/>
        </w:rPr>
        <w:t>corrección mon</w:t>
      </w:r>
      <w:r w:rsidRPr="00692B42">
        <w:rPr>
          <w:rFonts w:ascii="Verdana" w:hAnsi="Verdana" w:cs="Arial"/>
          <w:b/>
          <w:sz w:val="20"/>
          <w:szCs w:val="20"/>
        </w:rPr>
        <w:t>etaria, cánones, ajuste en cambio y otros conceptos)</w:t>
      </w:r>
    </w:p>
    <w:p w14:paraId="190BEC56" w14:textId="77777777" w:rsidR="00805384" w:rsidRDefault="00805384" w:rsidP="007C6B08">
      <w:pPr>
        <w:spacing w:after="0"/>
        <w:rPr>
          <w:rFonts w:ascii="Verdana" w:hAnsi="Verdana"/>
          <w:sz w:val="20"/>
          <w:szCs w:val="20"/>
        </w:rPr>
      </w:pPr>
    </w:p>
    <w:p w14:paraId="52BE6B44" w14:textId="66B3C14F" w:rsidR="007C6B08" w:rsidRPr="001C6CAB" w:rsidRDefault="007C6B08" w:rsidP="007C6B08">
      <w:pPr>
        <w:spacing w:after="0"/>
        <w:rPr>
          <w:rFonts w:ascii="Verdana" w:hAnsi="Verdana"/>
          <w:sz w:val="20"/>
          <w:szCs w:val="20"/>
        </w:rPr>
      </w:pPr>
      <w:r w:rsidRPr="001C6CAB">
        <w:rPr>
          <w:rFonts w:ascii="Verdana" w:hAnsi="Verdana"/>
          <w:sz w:val="20"/>
          <w:szCs w:val="20"/>
        </w:rPr>
        <w:t>1.1.3.</w:t>
      </w:r>
      <w:r w:rsidR="00631465">
        <w:rPr>
          <w:rFonts w:ascii="Verdana" w:hAnsi="Verdana"/>
          <w:sz w:val="20"/>
          <w:szCs w:val="20"/>
        </w:rPr>
        <w:t>69</w:t>
      </w:r>
      <w:r w:rsidRPr="001C6CAB">
        <w:rPr>
          <w:rFonts w:ascii="Verdana" w:hAnsi="Verdana"/>
          <w:sz w:val="20"/>
          <w:szCs w:val="20"/>
        </w:rPr>
        <w:t>.</w:t>
      </w:r>
    </w:p>
    <w:p w14:paraId="6DBB86D1" w14:textId="62338FEA" w:rsidR="002B3025" w:rsidRPr="002B3025" w:rsidRDefault="002B3025" w:rsidP="12B437D6">
      <w:pPr>
        <w:jc w:val="both"/>
        <w:rPr>
          <w:rFonts w:ascii="Verdana" w:hAnsi="Verdana" w:cs="Arial"/>
          <w:sz w:val="20"/>
          <w:szCs w:val="20"/>
        </w:rPr>
      </w:pPr>
      <w:r w:rsidRPr="12B437D6">
        <w:rPr>
          <w:rFonts w:ascii="Verdana" w:hAnsi="Verdana" w:cs="Arial"/>
          <w:sz w:val="20"/>
          <w:szCs w:val="20"/>
        </w:rPr>
        <w:t>Cuando se deba suspender la causación de rendimientos, corrección monetaria, ajustes en cambio, cánones e ingresos por otros conceptos, se debe provisionar la totalidad de lo causado y no recaudado correspondiente a tales conceptos. Tratándose de cánones de arrendamiento financiero se debe provisionar el ingreso financiero correspondiente.</w:t>
      </w:r>
    </w:p>
    <w:p w14:paraId="79D762D7" w14:textId="45D24CF0" w:rsidR="007C6B08" w:rsidRPr="001C6CAB" w:rsidRDefault="007C6B08" w:rsidP="007C6B08">
      <w:pPr>
        <w:spacing w:after="0"/>
        <w:rPr>
          <w:rFonts w:ascii="Verdana" w:hAnsi="Verdana"/>
          <w:sz w:val="20"/>
          <w:szCs w:val="20"/>
        </w:rPr>
      </w:pPr>
      <w:r w:rsidRPr="001C6CAB">
        <w:rPr>
          <w:rFonts w:ascii="Verdana" w:hAnsi="Verdana"/>
          <w:sz w:val="20"/>
          <w:szCs w:val="20"/>
        </w:rPr>
        <w:t>1.1.3.</w:t>
      </w:r>
      <w:r w:rsidR="00E14F4B">
        <w:rPr>
          <w:rFonts w:ascii="Verdana" w:hAnsi="Verdana"/>
          <w:sz w:val="20"/>
          <w:szCs w:val="20"/>
        </w:rPr>
        <w:t>7</w:t>
      </w:r>
      <w:r w:rsidR="00631465">
        <w:rPr>
          <w:rFonts w:ascii="Verdana" w:hAnsi="Verdana"/>
          <w:sz w:val="20"/>
          <w:szCs w:val="20"/>
        </w:rPr>
        <w:t>0</w:t>
      </w:r>
      <w:r w:rsidRPr="001C6CAB">
        <w:rPr>
          <w:rFonts w:ascii="Verdana" w:hAnsi="Verdana"/>
          <w:sz w:val="20"/>
          <w:szCs w:val="20"/>
        </w:rPr>
        <w:t>.</w:t>
      </w:r>
    </w:p>
    <w:p w14:paraId="01A6EAA0" w14:textId="6C5C14F8" w:rsidR="00AE75DC" w:rsidRDefault="002B3025" w:rsidP="003029D2">
      <w:pPr>
        <w:jc w:val="both"/>
        <w:rPr>
          <w:rFonts w:ascii="Verdana" w:hAnsi="Verdana" w:cs="Arial"/>
          <w:bCs/>
          <w:sz w:val="20"/>
          <w:szCs w:val="20"/>
        </w:rPr>
      </w:pPr>
      <w:r w:rsidRPr="002B3025">
        <w:rPr>
          <w:rFonts w:ascii="Verdana" w:hAnsi="Verdana" w:cs="Arial"/>
          <w:bCs/>
          <w:sz w:val="20"/>
          <w:szCs w:val="20"/>
        </w:rPr>
        <w:t>En todo caso, la entidad que tenga modelos internos no objetados o que hayan implementado el modelo de referencia adoptado por la SFC, no pueden constituir provisiones que superen el 100% del valor de esas cuentas.</w:t>
      </w:r>
    </w:p>
    <w:p w14:paraId="02B8FFE9" w14:textId="50C3C69A" w:rsidR="002B3025" w:rsidRPr="00805384" w:rsidRDefault="002B3025" w:rsidP="00551D66">
      <w:pPr>
        <w:pStyle w:val="Prrafodelista"/>
        <w:numPr>
          <w:ilvl w:val="0"/>
          <w:numId w:val="39"/>
        </w:numPr>
        <w:tabs>
          <w:tab w:val="right" w:pos="284"/>
        </w:tabs>
        <w:spacing w:after="0" w:line="240" w:lineRule="auto"/>
        <w:ind w:left="284" w:hanging="284"/>
        <w:contextualSpacing w:val="0"/>
        <w:jc w:val="both"/>
        <w:rPr>
          <w:rFonts w:ascii="Verdana" w:hAnsi="Verdana" w:cs="Arial"/>
          <w:b/>
          <w:sz w:val="20"/>
          <w:szCs w:val="20"/>
        </w:rPr>
      </w:pPr>
      <w:r w:rsidRPr="00805384">
        <w:rPr>
          <w:rFonts w:ascii="Verdana" w:hAnsi="Verdana" w:cs="Arial"/>
          <w:b/>
          <w:sz w:val="20"/>
          <w:szCs w:val="20"/>
        </w:rPr>
        <w:t>Provisión sobre bienes restituidos que originalmente se hubieran dado en leasing</w:t>
      </w:r>
    </w:p>
    <w:p w14:paraId="745FFCF5" w14:textId="77777777" w:rsidR="00AE75DC" w:rsidRDefault="00AE75DC" w:rsidP="00AE75DC">
      <w:pPr>
        <w:spacing w:after="0"/>
        <w:rPr>
          <w:rFonts w:ascii="Verdana" w:hAnsi="Verdana"/>
          <w:sz w:val="20"/>
          <w:szCs w:val="20"/>
        </w:rPr>
      </w:pPr>
    </w:p>
    <w:p w14:paraId="7B83A615" w14:textId="058D5A40" w:rsidR="00AE75DC" w:rsidRPr="001C6CAB" w:rsidRDefault="00AE75DC" w:rsidP="00AE75DC">
      <w:pPr>
        <w:spacing w:after="0"/>
        <w:rPr>
          <w:rFonts w:ascii="Verdana" w:hAnsi="Verdana"/>
          <w:sz w:val="20"/>
          <w:szCs w:val="20"/>
        </w:rPr>
      </w:pPr>
      <w:r w:rsidRPr="001C6CAB">
        <w:rPr>
          <w:rFonts w:ascii="Verdana" w:hAnsi="Verdana"/>
          <w:sz w:val="20"/>
          <w:szCs w:val="20"/>
        </w:rPr>
        <w:t>1.1.3.</w:t>
      </w:r>
      <w:r>
        <w:rPr>
          <w:rFonts w:ascii="Verdana" w:hAnsi="Verdana"/>
          <w:sz w:val="20"/>
          <w:szCs w:val="20"/>
        </w:rPr>
        <w:t>7</w:t>
      </w:r>
      <w:r w:rsidR="00631465">
        <w:rPr>
          <w:rFonts w:ascii="Verdana" w:hAnsi="Verdana"/>
          <w:sz w:val="20"/>
          <w:szCs w:val="20"/>
        </w:rPr>
        <w:t>1</w:t>
      </w:r>
      <w:r w:rsidRPr="001C6CAB">
        <w:rPr>
          <w:rFonts w:ascii="Verdana" w:hAnsi="Verdana"/>
          <w:sz w:val="20"/>
          <w:szCs w:val="20"/>
        </w:rPr>
        <w:t>.</w:t>
      </w:r>
    </w:p>
    <w:p w14:paraId="55AE1229" w14:textId="20C1276A" w:rsidR="002B3025" w:rsidRDefault="002B3025" w:rsidP="00B929BB">
      <w:pPr>
        <w:jc w:val="both"/>
        <w:rPr>
          <w:rFonts w:ascii="Verdana" w:hAnsi="Verdana" w:cs="Arial"/>
          <w:bCs/>
          <w:sz w:val="20"/>
          <w:szCs w:val="20"/>
        </w:rPr>
      </w:pPr>
      <w:r w:rsidRPr="002B3025">
        <w:rPr>
          <w:rFonts w:ascii="Verdana" w:hAnsi="Verdana" w:cs="Arial"/>
          <w:bCs/>
          <w:sz w:val="20"/>
          <w:szCs w:val="20"/>
        </w:rPr>
        <w:t xml:space="preserve">Las provisiones correspondientes se calculan </w:t>
      </w:r>
      <w:r w:rsidRPr="0060039E">
        <w:rPr>
          <w:rFonts w:ascii="Verdana" w:hAnsi="Verdana" w:cs="Arial"/>
          <w:bCs/>
          <w:sz w:val="20"/>
          <w:szCs w:val="20"/>
        </w:rPr>
        <w:t>utilizando la metodología establecida en</w:t>
      </w:r>
      <w:r w:rsidR="0060039E" w:rsidRPr="0060039E">
        <w:rPr>
          <w:rFonts w:ascii="Verdana" w:hAnsi="Verdana" w:cs="Arial"/>
          <w:bCs/>
          <w:sz w:val="20"/>
          <w:szCs w:val="20"/>
        </w:rPr>
        <w:t xml:space="preserve"> la sección 2 del capítulo 9 de la parte 3 de la </w:t>
      </w:r>
      <w:r w:rsidR="006317A5">
        <w:rPr>
          <w:rFonts w:ascii="Verdana" w:hAnsi="Verdana" w:cs="Arial"/>
          <w:bCs/>
          <w:sz w:val="20"/>
          <w:szCs w:val="20"/>
        </w:rPr>
        <w:t>CBF</w:t>
      </w:r>
      <w:r w:rsidRPr="0060039E">
        <w:rPr>
          <w:rFonts w:ascii="Verdana" w:hAnsi="Verdana" w:cs="Arial"/>
          <w:bCs/>
          <w:sz w:val="20"/>
          <w:szCs w:val="20"/>
        </w:rPr>
        <w:t xml:space="preserve"> sobre bienes recibidos en dación en pago, según la naturaleza del activo recuperado.</w:t>
      </w:r>
    </w:p>
    <w:p w14:paraId="1784CAA6" w14:textId="77777777" w:rsidR="000D534D" w:rsidRDefault="000D534D" w:rsidP="00B929BB">
      <w:pPr>
        <w:jc w:val="both"/>
        <w:rPr>
          <w:rFonts w:ascii="Verdana" w:hAnsi="Verdana" w:cs="Arial"/>
          <w:bCs/>
          <w:sz w:val="20"/>
          <w:szCs w:val="20"/>
        </w:rPr>
      </w:pPr>
    </w:p>
    <w:p w14:paraId="25472318" w14:textId="77777777" w:rsidR="000D534D" w:rsidRDefault="000D534D" w:rsidP="00B929BB">
      <w:pPr>
        <w:jc w:val="both"/>
        <w:rPr>
          <w:rFonts w:ascii="Verdana" w:hAnsi="Verdana" w:cs="Arial"/>
          <w:bCs/>
          <w:sz w:val="20"/>
          <w:szCs w:val="20"/>
        </w:rPr>
      </w:pPr>
    </w:p>
    <w:p w14:paraId="728D3793" w14:textId="77777777" w:rsidR="000D534D" w:rsidRPr="002B3025" w:rsidRDefault="000D534D" w:rsidP="00B929BB">
      <w:pPr>
        <w:jc w:val="both"/>
        <w:rPr>
          <w:rFonts w:ascii="Verdana" w:hAnsi="Verdana" w:cs="Arial"/>
          <w:bCs/>
          <w:sz w:val="20"/>
          <w:szCs w:val="20"/>
        </w:rPr>
      </w:pPr>
    </w:p>
    <w:p w14:paraId="7B93C7A1" w14:textId="38A64706" w:rsidR="002B3025" w:rsidRDefault="002B3025" w:rsidP="0016161D">
      <w:pPr>
        <w:tabs>
          <w:tab w:val="left" w:pos="0"/>
        </w:tabs>
        <w:spacing w:after="0" w:line="240" w:lineRule="auto"/>
        <w:jc w:val="both"/>
        <w:rPr>
          <w:rFonts w:ascii="Verdana" w:hAnsi="Verdana" w:cs="Arial"/>
          <w:b/>
          <w:sz w:val="20"/>
          <w:szCs w:val="20"/>
        </w:rPr>
      </w:pPr>
      <w:r w:rsidRPr="00AE75DC">
        <w:rPr>
          <w:rFonts w:ascii="Verdana" w:hAnsi="Verdana" w:cs="Arial"/>
          <w:b/>
          <w:sz w:val="20"/>
          <w:szCs w:val="20"/>
        </w:rPr>
        <w:t>Reportes a la SFC, al deudor y a los operadores de información</w:t>
      </w:r>
    </w:p>
    <w:p w14:paraId="2C7733AB" w14:textId="77777777" w:rsidR="0016161D" w:rsidRPr="0016161D" w:rsidRDefault="0016161D" w:rsidP="0016161D">
      <w:pPr>
        <w:tabs>
          <w:tab w:val="left" w:pos="0"/>
        </w:tabs>
        <w:spacing w:after="0" w:line="240" w:lineRule="auto"/>
        <w:jc w:val="both"/>
        <w:rPr>
          <w:rFonts w:ascii="Verdana" w:hAnsi="Verdana" w:cs="Arial"/>
          <w:b/>
          <w:sz w:val="20"/>
          <w:szCs w:val="20"/>
        </w:rPr>
      </w:pPr>
    </w:p>
    <w:p w14:paraId="28D07FC4" w14:textId="1E3E0229" w:rsidR="00AE75DC" w:rsidRPr="00E94F6D" w:rsidRDefault="00AE75DC" w:rsidP="00AE75DC">
      <w:pPr>
        <w:spacing w:after="0"/>
        <w:rPr>
          <w:rFonts w:ascii="Verdana" w:hAnsi="Verdana"/>
          <w:sz w:val="20"/>
          <w:szCs w:val="20"/>
        </w:rPr>
      </w:pPr>
      <w:r w:rsidRPr="00E94F6D">
        <w:rPr>
          <w:rFonts w:ascii="Verdana" w:hAnsi="Verdana"/>
          <w:sz w:val="20"/>
          <w:szCs w:val="20"/>
        </w:rPr>
        <w:t>1.1.3.7</w:t>
      </w:r>
      <w:r w:rsidR="00631465" w:rsidRPr="00E94F6D">
        <w:rPr>
          <w:rFonts w:ascii="Verdana" w:hAnsi="Verdana"/>
          <w:sz w:val="20"/>
          <w:szCs w:val="20"/>
        </w:rPr>
        <w:t>2</w:t>
      </w:r>
      <w:r w:rsidRPr="00E94F6D">
        <w:rPr>
          <w:rFonts w:ascii="Verdana" w:hAnsi="Verdana"/>
          <w:sz w:val="20"/>
          <w:szCs w:val="20"/>
        </w:rPr>
        <w:t>.</w:t>
      </w:r>
    </w:p>
    <w:p w14:paraId="6F5E6CBD" w14:textId="79D99750" w:rsidR="002B3025" w:rsidRPr="002B3025" w:rsidRDefault="002B3025" w:rsidP="00B929BB">
      <w:pPr>
        <w:jc w:val="both"/>
        <w:rPr>
          <w:rFonts w:ascii="Verdana" w:hAnsi="Verdana" w:cs="Arial"/>
          <w:bCs/>
          <w:sz w:val="20"/>
          <w:szCs w:val="20"/>
        </w:rPr>
      </w:pPr>
      <w:r w:rsidRPr="0028227F">
        <w:rPr>
          <w:rFonts w:ascii="Verdana" w:hAnsi="Verdana" w:cs="Arial"/>
          <w:bCs/>
          <w:sz w:val="20"/>
          <w:szCs w:val="20"/>
        </w:rPr>
        <w:t xml:space="preserve">Los resultados de las evaluaciones totales y de las actualizaciones de calificación de riesgo </w:t>
      </w:r>
      <w:r w:rsidR="0076439B" w:rsidRPr="0028227F">
        <w:rPr>
          <w:rFonts w:ascii="Verdana" w:hAnsi="Verdana" w:cs="Arial"/>
          <w:bCs/>
          <w:sz w:val="20"/>
          <w:szCs w:val="20"/>
        </w:rPr>
        <w:t xml:space="preserve">de los deudores </w:t>
      </w:r>
      <w:r w:rsidRPr="0028227F">
        <w:rPr>
          <w:rFonts w:ascii="Verdana" w:hAnsi="Verdana" w:cs="Arial"/>
          <w:bCs/>
          <w:sz w:val="20"/>
          <w:szCs w:val="20"/>
        </w:rPr>
        <w:t xml:space="preserve">efectuadas por la entidad, deben incorporarse en los </w:t>
      </w:r>
      <w:r w:rsidR="003C0661" w:rsidRPr="0028227F">
        <w:rPr>
          <w:rFonts w:ascii="Verdana" w:hAnsi="Verdana" w:cs="Arial"/>
          <w:bCs/>
          <w:sz w:val="20"/>
          <w:szCs w:val="20"/>
        </w:rPr>
        <w:t xml:space="preserve">reportes </w:t>
      </w:r>
      <w:r w:rsidR="00BC3942" w:rsidRPr="0028227F">
        <w:rPr>
          <w:rFonts w:ascii="Verdana" w:hAnsi="Verdana" w:cs="Arial"/>
          <w:bCs/>
          <w:sz w:val="20"/>
          <w:szCs w:val="20"/>
        </w:rPr>
        <w:t xml:space="preserve">periódicos </w:t>
      </w:r>
      <w:r w:rsidRPr="0028227F">
        <w:rPr>
          <w:rFonts w:ascii="Verdana" w:hAnsi="Verdana" w:cs="Arial"/>
          <w:bCs/>
          <w:sz w:val="20"/>
          <w:szCs w:val="20"/>
        </w:rPr>
        <w:t xml:space="preserve">de </w:t>
      </w:r>
      <w:r w:rsidR="00BC3942" w:rsidRPr="0028227F">
        <w:rPr>
          <w:rFonts w:ascii="Verdana" w:hAnsi="Verdana" w:cs="Arial"/>
          <w:bCs/>
          <w:sz w:val="20"/>
          <w:szCs w:val="20"/>
        </w:rPr>
        <w:t xml:space="preserve">las </w:t>
      </w:r>
      <w:r w:rsidRPr="0028227F">
        <w:rPr>
          <w:rFonts w:ascii="Verdana" w:hAnsi="Verdana" w:cs="Arial"/>
          <w:bCs/>
          <w:sz w:val="20"/>
          <w:szCs w:val="20"/>
        </w:rPr>
        <w:t xml:space="preserve">operaciones </w:t>
      </w:r>
      <w:r w:rsidR="00D83569" w:rsidRPr="0028227F">
        <w:rPr>
          <w:rFonts w:ascii="Verdana" w:hAnsi="Verdana" w:cs="Arial"/>
          <w:bCs/>
          <w:sz w:val="20"/>
          <w:szCs w:val="20"/>
        </w:rPr>
        <w:t xml:space="preserve">con </w:t>
      </w:r>
      <w:r w:rsidR="00411579" w:rsidRPr="0028227F">
        <w:rPr>
          <w:rFonts w:ascii="Verdana" w:hAnsi="Verdana" w:cs="Arial"/>
          <w:bCs/>
          <w:sz w:val="20"/>
          <w:szCs w:val="20"/>
        </w:rPr>
        <w:t xml:space="preserve">riesgo </w:t>
      </w:r>
      <w:r w:rsidRPr="0028227F">
        <w:rPr>
          <w:rFonts w:ascii="Verdana" w:hAnsi="Verdana" w:cs="Arial"/>
          <w:bCs/>
          <w:sz w:val="20"/>
          <w:szCs w:val="20"/>
        </w:rPr>
        <w:t xml:space="preserve">de crédito que se </w:t>
      </w:r>
      <w:r w:rsidR="00411579" w:rsidRPr="0028227F">
        <w:rPr>
          <w:rFonts w:ascii="Verdana" w:hAnsi="Verdana" w:cs="Arial"/>
          <w:bCs/>
          <w:sz w:val="20"/>
          <w:szCs w:val="20"/>
        </w:rPr>
        <w:t xml:space="preserve">deben </w:t>
      </w:r>
      <w:r w:rsidRPr="0028227F">
        <w:rPr>
          <w:rFonts w:ascii="Verdana" w:hAnsi="Verdana" w:cs="Arial"/>
          <w:bCs/>
          <w:sz w:val="20"/>
          <w:szCs w:val="20"/>
        </w:rPr>
        <w:t>remit</w:t>
      </w:r>
      <w:r w:rsidR="00411579" w:rsidRPr="0028227F">
        <w:rPr>
          <w:rFonts w:ascii="Verdana" w:hAnsi="Verdana" w:cs="Arial"/>
          <w:bCs/>
          <w:sz w:val="20"/>
          <w:szCs w:val="20"/>
        </w:rPr>
        <w:t xml:space="preserve">ir </w:t>
      </w:r>
      <w:r w:rsidRPr="0028227F">
        <w:rPr>
          <w:rFonts w:ascii="Verdana" w:hAnsi="Verdana" w:cs="Arial"/>
          <w:bCs/>
          <w:sz w:val="20"/>
          <w:szCs w:val="20"/>
        </w:rPr>
        <w:t>a la SFC</w:t>
      </w:r>
      <w:r w:rsidR="007633E6" w:rsidRPr="0028227F">
        <w:rPr>
          <w:rFonts w:ascii="Verdana" w:hAnsi="Verdana" w:cs="Arial"/>
          <w:bCs/>
          <w:sz w:val="20"/>
          <w:szCs w:val="20"/>
        </w:rPr>
        <w:t>, en cada fecha de reporte</w:t>
      </w:r>
      <w:r w:rsidRPr="0028227F">
        <w:rPr>
          <w:rFonts w:ascii="Verdana" w:hAnsi="Verdana" w:cs="Arial"/>
          <w:bCs/>
          <w:sz w:val="20"/>
          <w:szCs w:val="20"/>
        </w:rPr>
        <w:t xml:space="preserve"> de conformidad con los instructivos y formatos vigentes. Sin embargo, la SFC podrá solicitar informes adicionales a los anteriormente descritos cuando los considere necesarios.</w:t>
      </w:r>
    </w:p>
    <w:p w14:paraId="31BEF186" w14:textId="41949387" w:rsidR="00197553" w:rsidRPr="001C6CAB" w:rsidRDefault="00197553" w:rsidP="00197553">
      <w:pPr>
        <w:spacing w:after="0"/>
        <w:rPr>
          <w:rFonts w:ascii="Verdana" w:hAnsi="Verdana"/>
          <w:sz w:val="20"/>
          <w:szCs w:val="20"/>
        </w:rPr>
      </w:pPr>
      <w:r w:rsidRPr="001C6CAB">
        <w:rPr>
          <w:rFonts w:ascii="Verdana" w:hAnsi="Verdana"/>
          <w:sz w:val="20"/>
          <w:szCs w:val="20"/>
        </w:rPr>
        <w:t>1.1.3.</w:t>
      </w:r>
      <w:r>
        <w:rPr>
          <w:rFonts w:ascii="Verdana" w:hAnsi="Verdana"/>
          <w:sz w:val="20"/>
          <w:szCs w:val="20"/>
        </w:rPr>
        <w:t>7</w:t>
      </w:r>
      <w:r w:rsidR="00631465">
        <w:rPr>
          <w:rFonts w:ascii="Verdana" w:hAnsi="Verdana"/>
          <w:sz w:val="20"/>
          <w:szCs w:val="20"/>
        </w:rPr>
        <w:t>3</w:t>
      </w:r>
      <w:r w:rsidRPr="001C6CAB">
        <w:rPr>
          <w:rFonts w:ascii="Verdana" w:hAnsi="Verdana"/>
          <w:sz w:val="20"/>
          <w:szCs w:val="20"/>
        </w:rPr>
        <w:t>.</w:t>
      </w:r>
    </w:p>
    <w:p w14:paraId="72804AA8" w14:textId="1BDFE4C7" w:rsidR="002B3025" w:rsidRDefault="002B3025" w:rsidP="00B929BB">
      <w:pPr>
        <w:jc w:val="both"/>
        <w:rPr>
          <w:rFonts w:ascii="Verdana" w:hAnsi="Verdana" w:cs="Arial"/>
          <w:bCs/>
          <w:sz w:val="20"/>
          <w:szCs w:val="20"/>
        </w:rPr>
      </w:pPr>
      <w:r w:rsidRPr="002B3025">
        <w:rPr>
          <w:rFonts w:ascii="Verdana" w:hAnsi="Verdana" w:cs="Arial"/>
          <w:bCs/>
          <w:sz w:val="20"/>
          <w:szCs w:val="20"/>
        </w:rPr>
        <w:t xml:space="preserve">Las calificaciones de las operaciones activas de créditos y los contratos de leasing celebrados por las subordinadas en el exterior de la entidad deben </w:t>
      </w:r>
      <w:r w:rsidRPr="002B3025">
        <w:rPr>
          <w:rFonts w:ascii="Verdana" w:hAnsi="Verdana"/>
          <w:bCs/>
          <w:sz w:val="20"/>
          <w:szCs w:val="20"/>
        </w:rPr>
        <w:t xml:space="preserve">ser clasificadas y calificadas en los mismos términos, requisitos y condiciones establecidos en este </w:t>
      </w:r>
      <w:r w:rsidR="00814E11">
        <w:rPr>
          <w:rFonts w:ascii="Verdana" w:hAnsi="Verdana"/>
          <w:bCs/>
          <w:sz w:val="20"/>
          <w:szCs w:val="20"/>
        </w:rPr>
        <w:t>c</w:t>
      </w:r>
      <w:r w:rsidRPr="002B3025">
        <w:rPr>
          <w:rFonts w:ascii="Verdana" w:hAnsi="Verdana"/>
          <w:bCs/>
          <w:sz w:val="20"/>
          <w:szCs w:val="20"/>
        </w:rPr>
        <w:t xml:space="preserve">apítulo en relación con la gestión de riesgo de crédito. Los reportes de dicha calificación </w:t>
      </w:r>
      <w:r w:rsidR="00BC125A">
        <w:rPr>
          <w:rFonts w:ascii="Verdana" w:hAnsi="Verdana"/>
          <w:bCs/>
          <w:sz w:val="20"/>
          <w:szCs w:val="20"/>
        </w:rPr>
        <w:t xml:space="preserve">deben ser </w:t>
      </w:r>
      <w:r w:rsidRPr="002B3025">
        <w:rPr>
          <w:rFonts w:ascii="Verdana" w:hAnsi="Verdana" w:cs="Arial"/>
          <w:bCs/>
          <w:sz w:val="20"/>
          <w:szCs w:val="20"/>
        </w:rPr>
        <w:t>remitidos semestralmente a la SFC de acuerdo con las instrucciones y en las fechas que para el efecto se establezcan.</w:t>
      </w:r>
    </w:p>
    <w:p w14:paraId="3B11CCC6" w14:textId="3B0B96C1" w:rsidR="00197553" w:rsidRPr="001C6CAB" w:rsidRDefault="00197553" w:rsidP="00197553">
      <w:pPr>
        <w:spacing w:after="0"/>
        <w:rPr>
          <w:rFonts w:ascii="Verdana" w:hAnsi="Verdana"/>
          <w:sz w:val="20"/>
          <w:szCs w:val="20"/>
        </w:rPr>
      </w:pPr>
      <w:r w:rsidRPr="001C6CAB">
        <w:rPr>
          <w:rFonts w:ascii="Verdana" w:hAnsi="Verdana"/>
          <w:sz w:val="20"/>
          <w:szCs w:val="20"/>
        </w:rPr>
        <w:t>1.1.3.</w:t>
      </w:r>
      <w:r>
        <w:rPr>
          <w:rFonts w:ascii="Verdana" w:hAnsi="Verdana"/>
          <w:sz w:val="20"/>
          <w:szCs w:val="20"/>
        </w:rPr>
        <w:t>7</w:t>
      </w:r>
      <w:r w:rsidR="00631465">
        <w:rPr>
          <w:rFonts w:ascii="Verdana" w:hAnsi="Verdana"/>
          <w:sz w:val="20"/>
          <w:szCs w:val="20"/>
        </w:rPr>
        <w:t>4</w:t>
      </w:r>
      <w:r w:rsidRPr="001C6CAB">
        <w:rPr>
          <w:rFonts w:ascii="Verdana" w:hAnsi="Verdana"/>
          <w:sz w:val="20"/>
          <w:szCs w:val="20"/>
        </w:rPr>
        <w:t>.</w:t>
      </w:r>
    </w:p>
    <w:p w14:paraId="71AE7434" w14:textId="30DB2FEE" w:rsidR="002B3025" w:rsidRPr="002B3025" w:rsidRDefault="002B3025" w:rsidP="00B929BB">
      <w:pPr>
        <w:jc w:val="both"/>
        <w:rPr>
          <w:rFonts w:ascii="Verdana" w:hAnsi="Verdana" w:cs="Arial"/>
          <w:bCs/>
          <w:sz w:val="20"/>
          <w:szCs w:val="20"/>
        </w:rPr>
      </w:pPr>
      <w:r w:rsidRPr="002B3025">
        <w:rPr>
          <w:rFonts w:ascii="Verdana" w:hAnsi="Verdana" w:cs="Arial"/>
          <w:bCs/>
          <w:sz w:val="20"/>
          <w:szCs w:val="20"/>
        </w:rPr>
        <w:t>Los reportes a la SFC son obligatorios para las entidades que se indiquen en las respectivas normas y formatos, y se realizan respecto de las cuentas que allí mismo se prevean.</w:t>
      </w:r>
    </w:p>
    <w:p w14:paraId="1E0783F4" w14:textId="72A2A964" w:rsidR="002B3025" w:rsidRDefault="002B3025" w:rsidP="00551D66">
      <w:pPr>
        <w:pStyle w:val="Prrafodelista"/>
        <w:numPr>
          <w:ilvl w:val="0"/>
          <w:numId w:val="39"/>
        </w:numPr>
        <w:tabs>
          <w:tab w:val="right" w:pos="540"/>
        </w:tabs>
        <w:spacing w:after="0" w:line="240" w:lineRule="auto"/>
        <w:ind w:left="284" w:hanging="284"/>
        <w:contextualSpacing w:val="0"/>
        <w:jc w:val="both"/>
        <w:rPr>
          <w:rFonts w:ascii="Verdana" w:hAnsi="Verdana" w:cs="Arial"/>
          <w:b/>
          <w:sz w:val="20"/>
          <w:szCs w:val="20"/>
        </w:rPr>
      </w:pPr>
      <w:r w:rsidRPr="00197553">
        <w:rPr>
          <w:rFonts w:ascii="Verdana" w:hAnsi="Verdana" w:cs="Arial"/>
          <w:b/>
          <w:sz w:val="20"/>
          <w:szCs w:val="20"/>
        </w:rPr>
        <w:t>Reportes especiales de créditos reestructurados</w:t>
      </w:r>
    </w:p>
    <w:p w14:paraId="4AC23511" w14:textId="77777777" w:rsidR="00D97DEC" w:rsidRPr="00D97DEC" w:rsidRDefault="00D97DEC" w:rsidP="00D97DEC">
      <w:pPr>
        <w:pStyle w:val="Prrafodelista"/>
        <w:tabs>
          <w:tab w:val="right" w:pos="540"/>
        </w:tabs>
        <w:spacing w:after="0" w:line="240" w:lineRule="auto"/>
        <w:ind w:left="284"/>
        <w:contextualSpacing w:val="0"/>
        <w:jc w:val="both"/>
        <w:rPr>
          <w:rFonts w:ascii="Verdana" w:hAnsi="Verdana" w:cs="Arial"/>
          <w:b/>
          <w:sz w:val="20"/>
          <w:szCs w:val="20"/>
        </w:rPr>
      </w:pPr>
    </w:p>
    <w:p w14:paraId="5989EEC6" w14:textId="60A4D16E" w:rsidR="00197553" w:rsidRPr="001C6CAB" w:rsidRDefault="00197553" w:rsidP="00197553">
      <w:pPr>
        <w:spacing w:after="0"/>
        <w:rPr>
          <w:rFonts w:ascii="Verdana" w:hAnsi="Verdana"/>
          <w:sz w:val="20"/>
          <w:szCs w:val="20"/>
        </w:rPr>
      </w:pPr>
      <w:r w:rsidRPr="001C6CAB">
        <w:rPr>
          <w:rFonts w:ascii="Verdana" w:hAnsi="Verdana"/>
          <w:sz w:val="20"/>
          <w:szCs w:val="20"/>
        </w:rPr>
        <w:t>1.1.3.</w:t>
      </w:r>
      <w:r w:rsidR="00631465">
        <w:rPr>
          <w:rFonts w:ascii="Verdana" w:hAnsi="Verdana"/>
          <w:sz w:val="20"/>
          <w:szCs w:val="20"/>
        </w:rPr>
        <w:t>75</w:t>
      </w:r>
      <w:r w:rsidRPr="001C6CAB">
        <w:rPr>
          <w:rFonts w:ascii="Verdana" w:hAnsi="Verdana"/>
          <w:sz w:val="20"/>
          <w:szCs w:val="20"/>
        </w:rPr>
        <w:t>.</w:t>
      </w:r>
    </w:p>
    <w:p w14:paraId="2F3C87E0" w14:textId="4B3D3A95" w:rsidR="00197553" w:rsidRDefault="002B3025" w:rsidP="00D97DEC">
      <w:pPr>
        <w:jc w:val="both"/>
        <w:rPr>
          <w:rFonts w:ascii="Verdana" w:hAnsi="Verdana" w:cs="Arial"/>
          <w:bCs/>
          <w:sz w:val="20"/>
          <w:szCs w:val="20"/>
        </w:rPr>
      </w:pPr>
      <w:r w:rsidRPr="002B3025">
        <w:rPr>
          <w:rFonts w:ascii="Verdana" w:hAnsi="Verdana" w:cs="Arial"/>
          <w:bCs/>
          <w:sz w:val="20"/>
          <w:szCs w:val="20"/>
        </w:rPr>
        <w:t xml:space="preserve">Es obligatorio reportar mensualmente a la SFC </w:t>
      </w:r>
      <w:r w:rsidR="009C62E9">
        <w:rPr>
          <w:rFonts w:ascii="Verdana" w:hAnsi="Verdana" w:cs="Arial"/>
          <w:bCs/>
          <w:sz w:val="20"/>
          <w:szCs w:val="20"/>
        </w:rPr>
        <w:t xml:space="preserve">la </w:t>
      </w:r>
      <w:r w:rsidRPr="002B3025">
        <w:rPr>
          <w:rFonts w:ascii="Verdana" w:hAnsi="Verdana" w:cs="Arial"/>
          <w:bCs/>
          <w:sz w:val="20"/>
          <w:szCs w:val="20"/>
        </w:rPr>
        <w:t xml:space="preserve">información sobre </w:t>
      </w:r>
      <w:r w:rsidR="009C62E9">
        <w:rPr>
          <w:rFonts w:ascii="Verdana" w:hAnsi="Verdana" w:cs="Arial"/>
          <w:bCs/>
          <w:sz w:val="20"/>
          <w:szCs w:val="20"/>
        </w:rPr>
        <w:t xml:space="preserve">los </w:t>
      </w:r>
      <w:r w:rsidRPr="002B3025">
        <w:rPr>
          <w:rFonts w:ascii="Verdana" w:hAnsi="Verdana" w:cs="Arial"/>
          <w:bCs/>
          <w:sz w:val="20"/>
          <w:szCs w:val="20"/>
        </w:rPr>
        <w:t>créditos reestructurados, de conformidad con los reportes previstos para el efecto</w:t>
      </w:r>
      <w:r w:rsidR="009C62E9">
        <w:rPr>
          <w:rFonts w:ascii="Verdana" w:hAnsi="Verdana" w:cs="Arial"/>
          <w:bCs/>
          <w:sz w:val="20"/>
          <w:szCs w:val="20"/>
        </w:rPr>
        <w:t>.</w:t>
      </w:r>
    </w:p>
    <w:p w14:paraId="52B4ED1B" w14:textId="10087350" w:rsidR="002B3025" w:rsidRPr="00197553" w:rsidRDefault="002B3025" w:rsidP="00551D66">
      <w:pPr>
        <w:pStyle w:val="Prrafodelista"/>
        <w:numPr>
          <w:ilvl w:val="0"/>
          <w:numId w:val="39"/>
        </w:numPr>
        <w:tabs>
          <w:tab w:val="right" w:pos="540"/>
        </w:tabs>
        <w:spacing w:after="0" w:line="240" w:lineRule="auto"/>
        <w:ind w:left="284" w:hanging="284"/>
        <w:contextualSpacing w:val="0"/>
        <w:jc w:val="both"/>
        <w:rPr>
          <w:rFonts w:ascii="Verdana" w:hAnsi="Verdana" w:cs="Arial"/>
          <w:b/>
          <w:sz w:val="20"/>
          <w:szCs w:val="20"/>
        </w:rPr>
      </w:pPr>
      <w:r w:rsidRPr="00197553">
        <w:rPr>
          <w:rFonts w:ascii="Verdana" w:hAnsi="Verdana" w:cs="Arial"/>
          <w:b/>
          <w:sz w:val="20"/>
          <w:szCs w:val="20"/>
        </w:rPr>
        <w:t>Mecanismos de divulgación en relación con los operadores de información</w:t>
      </w:r>
    </w:p>
    <w:p w14:paraId="589853DC" w14:textId="77777777" w:rsidR="00D97DEC" w:rsidRDefault="00D97DEC" w:rsidP="00197553">
      <w:pPr>
        <w:spacing w:after="0"/>
        <w:rPr>
          <w:rFonts w:ascii="Verdana" w:hAnsi="Verdana"/>
          <w:sz w:val="20"/>
          <w:szCs w:val="20"/>
        </w:rPr>
      </w:pPr>
    </w:p>
    <w:p w14:paraId="4D79AD7F" w14:textId="31BA7146" w:rsidR="00197553" w:rsidRPr="001C6CAB" w:rsidRDefault="00197553" w:rsidP="00197553">
      <w:pPr>
        <w:spacing w:after="0"/>
        <w:rPr>
          <w:rFonts w:ascii="Verdana" w:hAnsi="Verdana"/>
          <w:sz w:val="20"/>
          <w:szCs w:val="20"/>
        </w:rPr>
      </w:pPr>
      <w:r w:rsidRPr="001C6CAB">
        <w:rPr>
          <w:rFonts w:ascii="Verdana" w:hAnsi="Verdana"/>
          <w:sz w:val="20"/>
          <w:szCs w:val="20"/>
        </w:rPr>
        <w:t>1.1.3.</w:t>
      </w:r>
      <w:r w:rsidR="00631465">
        <w:rPr>
          <w:rFonts w:ascii="Verdana" w:hAnsi="Verdana"/>
          <w:sz w:val="20"/>
          <w:szCs w:val="20"/>
        </w:rPr>
        <w:t>76</w:t>
      </w:r>
      <w:r w:rsidRPr="001C6CAB">
        <w:rPr>
          <w:rFonts w:ascii="Verdana" w:hAnsi="Verdana"/>
          <w:sz w:val="20"/>
          <w:szCs w:val="20"/>
        </w:rPr>
        <w:t>.</w:t>
      </w:r>
    </w:p>
    <w:p w14:paraId="482B7987" w14:textId="40355E9D" w:rsidR="002B3025" w:rsidRPr="002B3025" w:rsidRDefault="002B3025" w:rsidP="00B929BB">
      <w:pPr>
        <w:pStyle w:val="toa"/>
        <w:tabs>
          <w:tab w:val="clear" w:pos="9000"/>
          <w:tab w:val="clear" w:pos="9360"/>
          <w:tab w:val="left" w:pos="709"/>
        </w:tabs>
        <w:suppressAutoHyphens w:val="0"/>
        <w:jc w:val="both"/>
        <w:rPr>
          <w:rFonts w:ascii="Verdana" w:hAnsi="Verdana" w:cs="Arial"/>
          <w:bCs/>
          <w:sz w:val="20"/>
          <w:lang w:val="es-CO"/>
        </w:rPr>
      </w:pPr>
      <w:r w:rsidRPr="002B3025">
        <w:rPr>
          <w:rFonts w:ascii="Verdana" w:hAnsi="Verdana" w:cs="Arial"/>
          <w:bCs/>
          <w:sz w:val="20"/>
          <w:lang w:val="es-CO"/>
        </w:rPr>
        <w:t>La gestión de riesgo de crédito debe contar con mecanismos de información periódica (carteleras, folletos, información adjunta a los extractos, internet, entre otros) para los clientes y deudores de la entidad acerca del alcance de sus convenios con operadores de información, de los efectos generales que conlleva el reporte a las mismas y de las reglas internas sobre permanencia del dato que hayan adoptado tales operadores de información teniendo en cuenta la jurisprudencia constitucional y los mandatos que se establezcan en las normas legales aplicables.</w:t>
      </w:r>
    </w:p>
    <w:p w14:paraId="46E21486" w14:textId="77777777" w:rsidR="002B3025" w:rsidRPr="002B3025" w:rsidRDefault="002B3025" w:rsidP="00B929BB">
      <w:pPr>
        <w:pStyle w:val="toa"/>
        <w:tabs>
          <w:tab w:val="clear" w:pos="9000"/>
          <w:tab w:val="clear" w:pos="9360"/>
          <w:tab w:val="left" w:pos="709"/>
        </w:tabs>
        <w:suppressAutoHyphens w:val="0"/>
        <w:jc w:val="both"/>
        <w:rPr>
          <w:rFonts w:ascii="Verdana" w:hAnsi="Verdana" w:cs="Arial"/>
          <w:bCs/>
          <w:sz w:val="20"/>
          <w:lang w:val="es-CO"/>
        </w:rPr>
      </w:pPr>
    </w:p>
    <w:p w14:paraId="6A3A3969" w14:textId="77777777" w:rsidR="002B3025" w:rsidRPr="00A15107" w:rsidRDefault="002B3025" w:rsidP="00551D66">
      <w:pPr>
        <w:pStyle w:val="Prrafodelista"/>
        <w:numPr>
          <w:ilvl w:val="0"/>
          <w:numId w:val="39"/>
        </w:numPr>
        <w:tabs>
          <w:tab w:val="right" w:pos="284"/>
        </w:tabs>
        <w:spacing w:after="0" w:line="240" w:lineRule="auto"/>
        <w:ind w:left="284" w:hanging="284"/>
        <w:jc w:val="both"/>
        <w:rPr>
          <w:rFonts w:ascii="Verdana" w:hAnsi="Verdana" w:cs="Arial"/>
          <w:b/>
          <w:sz w:val="20"/>
          <w:szCs w:val="20"/>
        </w:rPr>
      </w:pPr>
      <w:r w:rsidRPr="00A15107">
        <w:rPr>
          <w:rFonts w:ascii="Verdana" w:hAnsi="Verdana" w:cs="Arial"/>
          <w:b/>
          <w:sz w:val="20"/>
          <w:szCs w:val="20"/>
        </w:rPr>
        <w:t>Información al deudor</w:t>
      </w:r>
    </w:p>
    <w:p w14:paraId="56B95E17" w14:textId="77777777" w:rsidR="002B3025" w:rsidRPr="002B3025" w:rsidRDefault="002B3025" w:rsidP="00B929BB">
      <w:pPr>
        <w:pStyle w:val="toa"/>
        <w:tabs>
          <w:tab w:val="clear" w:pos="9000"/>
          <w:tab w:val="clear" w:pos="9360"/>
          <w:tab w:val="left" w:pos="709"/>
        </w:tabs>
        <w:suppressAutoHyphens w:val="0"/>
        <w:jc w:val="both"/>
        <w:rPr>
          <w:rFonts w:ascii="Verdana" w:hAnsi="Verdana" w:cs="Arial"/>
          <w:bCs/>
          <w:sz w:val="20"/>
          <w:lang w:val="es-CO"/>
        </w:rPr>
      </w:pPr>
    </w:p>
    <w:p w14:paraId="5B012E02" w14:textId="0F078E84" w:rsidR="00CD753D" w:rsidRPr="001C6CAB" w:rsidRDefault="00CD753D" w:rsidP="00CD753D">
      <w:pPr>
        <w:spacing w:after="0"/>
        <w:rPr>
          <w:rFonts w:ascii="Verdana" w:hAnsi="Verdana"/>
          <w:sz w:val="20"/>
          <w:szCs w:val="20"/>
        </w:rPr>
      </w:pPr>
      <w:r w:rsidRPr="001C6CAB">
        <w:rPr>
          <w:rFonts w:ascii="Verdana" w:hAnsi="Verdana"/>
          <w:sz w:val="20"/>
          <w:szCs w:val="20"/>
        </w:rPr>
        <w:t>1.1.3.</w:t>
      </w:r>
      <w:r w:rsidR="00631465">
        <w:rPr>
          <w:rFonts w:ascii="Verdana" w:hAnsi="Verdana"/>
          <w:sz w:val="20"/>
          <w:szCs w:val="20"/>
        </w:rPr>
        <w:t>77</w:t>
      </w:r>
      <w:r w:rsidRPr="001C6CAB">
        <w:rPr>
          <w:rFonts w:ascii="Verdana" w:hAnsi="Verdana"/>
          <w:sz w:val="20"/>
          <w:szCs w:val="20"/>
        </w:rPr>
        <w:t>.</w:t>
      </w:r>
    </w:p>
    <w:p w14:paraId="205B763E" w14:textId="6EC615A8" w:rsidR="002B3025" w:rsidRPr="002B3025" w:rsidRDefault="002B3025" w:rsidP="00B929BB">
      <w:pPr>
        <w:tabs>
          <w:tab w:val="left" w:pos="709"/>
        </w:tabs>
        <w:jc w:val="both"/>
        <w:rPr>
          <w:rFonts w:ascii="Verdana" w:hAnsi="Verdana" w:cs="Arial"/>
          <w:bCs/>
          <w:sz w:val="20"/>
          <w:szCs w:val="20"/>
        </w:rPr>
      </w:pPr>
      <w:r w:rsidRPr="002B3025">
        <w:rPr>
          <w:rFonts w:ascii="Verdana" w:hAnsi="Verdana" w:cs="Arial"/>
          <w:bCs/>
          <w:sz w:val="20"/>
          <w:szCs w:val="20"/>
        </w:rPr>
        <w:t>Dentro de los 10 días siguientes a la respectiva solicitud del cliente, la entidad financiera acreedora debe comunicarle la última calificación y clasificación de riesgo que le ha asignado, junto con los fundamentos que la justifican según la evaluación correspondiente realizada por la entidad. Com</w:t>
      </w:r>
      <w:r w:rsidRPr="00046D63">
        <w:rPr>
          <w:rFonts w:ascii="Verdana" w:hAnsi="Verdana" w:cs="Arial"/>
          <w:bCs/>
          <w:sz w:val="20"/>
          <w:szCs w:val="20"/>
        </w:rPr>
        <w:t xml:space="preserve">o se indicó en el </w:t>
      </w:r>
      <w:r w:rsidR="00046D63" w:rsidRPr="00046D63">
        <w:rPr>
          <w:rFonts w:ascii="Verdana" w:hAnsi="Verdana" w:cs="Arial"/>
          <w:bCs/>
          <w:sz w:val="20"/>
          <w:szCs w:val="20"/>
        </w:rPr>
        <w:t xml:space="preserve">párrafo 1.1.2.22. del presente capítulo, </w:t>
      </w:r>
      <w:r w:rsidRPr="00046D63">
        <w:rPr>
          <w:rFonts w:ascii="Verdana" w:hAnsi="Verdana" w:cs="Arial"/>
          <w:bCs/>
          <w:sz w:val="20"/>
          <w:szCs w:val="20"/>
        </w:rPr>
        <w:t>en el momento en que se solicita u otorga el crédito</w:t>
      </w:r>
      <w:r w:rsidRPr="002B3025">
        <w:rPr>
          <w:rFonts w:ascii="Verdana" w:hAnsi="Verdana" w:cs="Arial"/>
          <w:bCs/>
          <w:sz w:val="20"/>
          <w:szCs w:val="20"/>
        </w:rPr>
        <w:t>, el cliente debe ser ilustrado acerca de su derecho a obtener esta información.</w:t>
      </w:r>
    </w:p>
    <w:p w14:paraId="4D3A2E98" w14:textId="26842192" w:rsidR="00CD753D" w:rsidRPr="001C6CAB" w:rsidRDefault="00CD753D" w:rsidP="00CD753D">
      <w:pPr>
        <w:spacing w:after="0"/>
        <w:rPr>
          <w:rFonts w:ascii="Verdana" w:hAnsi="Verdana"/>
          <w:sz w:val="20"/>
          <w:szCs w:val="20"/>
        </w:rPr>
      </w:pPr>
      <w:r w:rsidRPr="001C6CAB">
        <w:rPr>
          <w:rFonts w:ascii="Verdana" w:hAnsi="Verdana"/>
          <w:sz w:val="20"/>
          <w:szCs w:val="20"/>
        </w:rPr>
        <w:t>1.1.3.</w:t>
      </w:r>
      <w:r w:rsidR="00631465">
        <w:rPr>
          <w:rFonts w:ascii="Verdana" w:hAnsi="Verdana"/>
          <w:sz w:val="20"/>
          <w:szCs w:val="20"/>
        </w:rPr>
        <w:t>78</w:t>
      </w:r>
      <w:r w:rsidR="009347EA">
        <w:rPr>
          <w:rFonts w:ascii="Verdana" w:hAnsi="Verdana"/>
          <w:sz w:val="20"/>
          <w:szCs w:val="20"/>
        </w:rPr>
        <w:t>.</w:t>
      </w:r>
    </w:p>
    <w:p w14:paraId="127C719B" w14:textId="447FDC28" w:rsidR="002B3025" w:rsidRDefault="002B3025" w:rsidP="00B929BB">
      <w:pPr>
        <w:pStyle w:val="toa"/>
        <w:tabs>
          <w:tab w:val="clear" w:pos="9000"/>
          <w:tab w:val="clear" w:pos="9360"/>
          <w:tab w:val="left" w:pos="709"/>
        </w:tabs>
        <w:suppressAutoHyphens w:val="0"/>
        <w:jc w:val="both"/>
        <w:rPr>
          <w:rFonts w:ascii="Verdana" w:hAnsi="Verdana" w:cs="Arial"/>
          <w:bCs/>
          <w:sz w:val="20"/>
          <w:lang w:val="es-ES"/>
        </w:rPr>
      </w:pPr>
      <w:r w:rsidRPr="002B3025">
        <w:rPr>
          <w:rFonts w:ascii="Verdana" w:hAnsi="Verdana" w:cs="Arial"/>
          <w:bCs/>
          <w:sz w:val="20"/>
          <w:lang w:val="es-ES"/>
        </w:rPr>
        <w:t>Cuando se modifiquen las condiciones del crédito de acuerdo con lo establecido</w:t>
      </w:r>
      <w:r w:rsidR="005C667D">
        <w:rPr>
          <w:rFonts w:ascii="Verdana" w:hAnsi="Verdana" w:cs="Arial"/>
          <w:bCs/>
          <w:sz w:val="20"/>
          <w:lang w:val="es-ES"/>
        </w:rPr>
        <w:t xml:space="preserve"> en los párrafos 1.1.2.50</w:t>
      </w:r>
      <w:r w:rsidR="00E44E15">
        <w:rPr>
          <w:rFonts w:ascii="Verdana" w:hAnsi="Verdana" w:cs="Arial"/>
          <w:bCs/>
          <w:sz w:val="20"/>
          <w:lang w:val="es-ES"/>
        </w:rPr>
        <w:t>. y 1.1.2.51. y</w:t>
      </w:r>
      <w:r w:rsidRPr="002B3025">
        <w:rPr>
          <w:rFonts w:ascii="Verdana" w:hAnsi="Verdana" w:cs="Arial"/>
          <w:bCs/>
          <w:sz w:val="20"/>
          <w:lang w:val="es-ES"/>
        </w:rPr>
        <w:t xml:space="preserve"> en</w:t>
      </w:r>
      <w:r w:rsidR="005C667D">
        <w:rPr>
          <w:rFonts w:ascii="Verdana" w:hAnsi="Verdana" w:cs="Arial"/>
          <w:bCs/>
          <w:sz w:val="20"/>
          <w:lang w:val="es-ES"/>
        </w:rPr>
        <w:t>tre los párraf</w:t>
      </w:r>
      <w:r w:rsidR="00E44E15">
        <w:rPr>
          <w:rFonts w:ascii="Verdana" w:hAnsi="Verdana" w:cs="Arial"/>
          <w:bCs/>
          <w:sz w:val="20"/>
          <w:lang w:val="es-ES"/>
        </w:rPr>
        <w:t>o</w:t>
      </w:r>
      <w:r w:rsidRPr="002B3025">
        <w:rPr>
          <w:rFonts w:ascii="Verdana" w:hAnsi="Verdana" w:cs="Arial"/>
          <w:bCs/>
          <w:sz w:val="20"/>
          <w:lang w:val="es-ES"/>
        </w:rPr>
        <w:t>s</w:t>
      </w:r>
      <w:r w:rsidR="00E44E15">
        <w:rPr>
          <w:rFonts w:ascii="Verdana" w:hAnsi="Verdana" w:cs="Arial"/>
          <w:bCs/>
          <w:sz w:val="20"/>
          <w:lang w:val="es-ES"/>
        </w:rPr>
        <w:t xml:space="preserve"> 1.1.2.54. y 1.1.2.62.</w:t>
      </w:r>
      <w:r w:rsidR="00040CE3">
        <w:rPr>
          <w:rFonts w:ascii="Verdana" w:hAnsi="Verdana" w:cs="Arial"/>
          <w:bCs/>
          <w:sz w:val="20"/>
          <w:lang w:val="es-ES"/>
        </w:rPr>
        <w:t xml:space="preserve"> de la </w:t>
      </w:r>
      <w:r w:rsidR="006317A5">
        <w:rPr>
          <w:rFonts w:ascii="Verdana" w:hAnsi="Verdana" w:cs="Arial"/>
          <w:bCs/>
          <w:sz w:val="20"/>
          <w:lang w:val="es-ES"/>
        </w:rPr>
        <w:t>CBF</w:t>
      </w:r>
      <w:r w:rsidR="00040CE3">
        <w:rPr>
          <w:rFonts w:ascii="Verdana" w:hAnsi="Verdana" w:cs="Arial"/>
          <w:bCs/>
          <w:sz w:val="20"/>
          <w:lang w:val="es-ES"/>
        </w:rPr>
        <w:t>, las</w:t>
      </w:r>
      <w:r w:rsidRPr="002B3025">
        <w:rPr>
          <w:rFonts w:ascii="Verdana" w:hAnsi="Verdana" w:cs="Arial"/>
          <w:bCs/>
          <w:sz w:val="20"/>
          <w:lang w:val="es-ES"/>
        </w:rPr>
        <w:t xml:space="preserve"> entidades deben suministrar al deudor la información necesaria que le permita comprender las implicaciones de estas modificaciones en términos de costos y calificación crediticia, así como un comparativo entre las condiciones actuales y las del crédito una vez sea modificado o reestructurado. Para el efecto </w:t>
      </w:r>
      <w:r w:rsidR="00657DBA">
        <w:rPr>
          <w:rFonts w:ascii="Verdana" w:hAnsi="Verdana" w:cs="Arial"/>
          <w:bCs/>
          <w:sz w:val="20"/>
          <w:lang w:val="es-ES"/>
        </w:rPr>
        <w:t xml:space="preserve">la entidad </w:t>
      </w:r>
      <w:r w:rsidRPr="002B3025">
        <w:rPr>
          <w:rFonts w:ascii="Verdana" w:hAnsi="Verdana" w:cs="Arial"/>
          <w:bCs/>
          <w:sz w:val="20"/>
          <w:lang w:val="es-ES"/>
        </w:rPr>
        <w:t>debe suministrar como mínimo información respecto de las nuevas condiciones establecidas, los efectos de incumplir en el pago de la obligación bajo las nuevas condiciones, así como el costo total de la operación. Tales condiciones deben quedar soportadas en un medio verificable.</w:t>
      </w:r>
    </w:p>
    <w:p w14:paraId="40F0CCAB" w14:textId="77777777" w:rsidR="00C3449D" w:rsidRPr="002B3025" w:rsidRDefault="00C3449D" w:rsidP="00B929BB">
      <w:pPr>
        <w:pStyle w:val="toa"/>
        <w:tabs>
          <w:tab w:val="clear" w:pos="9000"/>
          <w:tab w:val="clear" w:pos="9360"/>
          <w:tab w:val="left" w:pos="709"/>
        </w:tabs>
        <w:suppressAutoHyphens w:val="0"/>
        <w:jc w:val="both"/>
        <w:rPr>
          <w:rFonts w:ascii="Verdana" w:hAnsi="Verdana" w:cs="Arial"/>
          <w:bCs/>
          <w:sz w:val="20"/>
          <w:lang w:val="es-ES"/>
        </w:rPr>
      </w:pPr>
    </w:p>
    <w:p w14:paraId="7DB5EC21" w14:textId="19DD6808" w:rsidR="002B3025" w:rsidRDefault="002B3025" w:rsidP="00A15107">
      <w:pPr>
        <w:tabs>
          <w:tab w:val="left" w:pos="0"/>
        </w:tabs>
        <w:spacing w:after="0" w:line="240" w:lineRule="auto"/>
        <w:jc w:val="both"/>
        <w:rPr>
          <w:rFonts w:ascii="Verdana" w:hAnsi="Verdana" w:cs="Arial"/>
          <w:b/>
          <w:sz w:val="20"/>
          <w:szCs w:val="20"/>
        </w:rPr>
      </w:pPr>
      <w:r w:rsidRPr="009347EA">
        <w:rPr>
          <w:rFonts w:ascii="Verdana" w:hAnsi="Verdana" w:cs="Arial"/>
          <w:b/>
          <w:sz w:val="20"/>
          <w:szCs w:val="20"/>
        </w:rPr>
        <w:lastRenderedPageBreak/>
        <w:t xml:space="preserve">Temas especiales </w:t>
      </w:r>
      <w:r w:rsidR="00A15107">
        <w:rPr>
          <w:rFonts w:ascii="Verdana" w:hAnsi="Verdana" w:cs="Arial"/>
          <w:b/>
          <w:sz w:val="20"/>
          <w:szCs w:val="20"/>
        </w:rPr>
        <w:t>de</w:t>
      </w:r>
      <w:r w:rsidRPr="009347EA">
        <w:rPr>
          <w:rFonts w:ascii="Verdana" w:hAnsi="Verdana" w:cs="Arial"/>
          <w:b/>
          <w:sz w:val="20"/>
          <w:szCs w:val="20"/>
        </w:rPr>
        <w:t xml:space="preserve"> crédito</w:t>
      </w:r>
    </w:p>
    <w:p w14:paraId="5DAB2319" w14:textId="77777777" w:rsidR="00A15107" w:rsidRPr="00A15107" w:rsidRDefault="00A15107" w:rsidP="00A15107">
      <w:pPr>
        <w:tabs>
          <w:tab w:val="left" w:pos="0"/>
        </w:tabs>
        <w:spacing w:after="0" w:line="240" w:lineRule="auto"/>
        <w:jc w:val="both"/>
        <w:rPr>
          <w:rFonts w:ascii="Verdana" w:hAnsi="Verdana" w:cs="Arial"/>
          <w:b/>
          <w:sz w:val="20"/>
          <w:szCs w:val="20"/>
        </w:rPr>
      </w:pPr>
    </w:p>
    <w:p w14:paraId="609F4B24" w14:textId="319039BE" w:rsidR="009347EA" w:rsidRPr="001C6CAB" w:rsidRDefault="009347EA" w:rsidP="009347EA">
      <w:pPr>
        <w:spacing w:after="0"/>
        <w:rPr>
          <w:rFonts w:ascii="Verdana" w:hAnsi="Verdana"/>
          <w:sz w:val="20"/>
          <w:szCs w:val="20"/>
        </w:rPr>
      </w:pPr>
      <w:r w:rsidRPr="001C6CAB">
        <w:rPr>
          <w:rFonts w:ascii="Verdana" w:hAnsi="Verdana"/>
          <w:sz w:val="20"/>
          <w:szCs w:val="20"/>
        </w:rPr>
        <w:t>1.1.3.</w:t>
      </w:r>
      <w:r w:rsidR="00631465">
        <w:rPr>
          <w:rFonts w:ascii="Verdana" w:hAnsi="Verdana"/>
          <w:sz w:val="20"/>
          <w:szCs w:val="20"/>
        </w:rPr>
        <w:t>79</w:t>
      </w:r>
      <w:r w:rsidRPr="001C6CAB">
        <w:rPr>
          <w:rFonts w:ascii="Verdana" w:hAnsi="Verdana"/>
          <w:sz w:val="20"/>
          <w:szCs w:val="20"/>
        </w:rPr>
        <w:t>.</w:t>
      </w:r>
    </w:p>
    <w:p w14:paraId="4730A7AC" w14:textId="7CFB9BA0" w:rsidR="002B3025" w:rsidRPr="002B3025" w:rsidRDefault="00151ED5" w:rsidP="009347EA">
      <w:pPr>
        <w:pStyle w:val="Prrafodelista"/>
        <w:tabs>
          <w:tab w:val="right" w:pos="540"/>
        </w:tabs>
        <w:spacing w:after="0" w:line="240" w:lineRule="auto"/>
        <w:ind w:left="0"/>
        <w:contextualSpacing w:val="0"/>
        <w:jc w:val="both"/>
        <w:rPr>
          <w:rFonts w:ascii="Verdana" w:hAnsi="Verdana" w:cs="Arial"/>
          <w:bCs/>
          <w:sz w:val="20"/>
          <w:szCs w:val="20"/>
        </w:rPr>
      </w:pPr>
      <w:r>
        <w:rPr>
          <w:rFonts w:ascii="Verdana" w:hAnsi="Verdana" w:cs="Arial"/>
          <w:bCs/>
          <w:sz w:val="20"/>
          <w:szCs w:val="20"/>
        </w:rPr>
        <w:t>Los c</w:t>
      </w:r>
      <w:r w:rsidR="002B3025" w:rsidRPr="002B3025">
        <w:rPr>
          <w:rFonts w:ascii="Verdana" w:hAnsi="Verdana" w:cs="Arial"/>
          <w:bCs/>
          <w:sz w:val="20"/>
          <w:szCs w:val="20"/>
        </w:rPr>
        <w:t xml:space="preserve">réditos otorgados a las víctimas a las </w:t>
      </w:r>
      <w:r w:rsidR="002B3025" w:rsidRPr="00B900C8">
        <w:rPr>
          <w:rFonts w:ascii="Verdana" w:hAnsi="Verdana" w:cs="Arial"/>
          <w:bCs/>
          <w:sz w:val="20"/>
          <w:szCs w:val="20"/>
        </w:rPr>
        <w:t>que se refiere la Ley 1448 de 2011 y operaciones</w:t>
      </w:r>
      <w:r w:rsidR="002B3025" w:rsidRPr="002B3025">
        <w:rPr>
          <w:rFonts w:ascii="Verdana" w:hAnsi="Verdana" w:cs="Arial"/>
          <w:bCs/>
          <w:sz w:val="20"/>
          <w:szCs w:val="20"/>
        </w:rPr>
        <w:t xml:space="preserve"> con entes territoriales y entidades estatales</w:t>
      </w:r>
      <w:r w:rsidR="00F742FD">
        <w:rPr>
          <w:rFonts w:ascii="Verdana" w:hAnsi="Verdana" w:cs="Arial"/>
          <w:bCs/>
          <w:sz w:val="20"/>
          <w:szCs w:val="20"/>
        </w:rPr>
        <w:t xml:space="preserve">, deben cumplir </w:t>
      </w:r>
      <w:r w:rsidR="00CE6481">
        <w:rPr>
          <w:rFonts w:ascii="Verdana" w:hAnsi="Verdana" w:cs="Arial"/>
          <w:bCs/>
          <w:sz w:val="20"/>
          <w:szCs w:val="20"/>
        </w:rPr>
        <w:t>las siguientes instrucciones</w:t>
      </w:r>
      <w:r w:rsidR="00F742FD">
        <w:rPr>
          <w:rFonts w:ascii="Verdana" w:hAnsi="Verdana" w:cs="Arial"/>
          <w:bCs/>
          <w:sz w:val="20"/>
          <w:szCs w:val="20"/>
        </w:rPr>
        <w:t>.</w:t>
      </w:r>
    </w:p>
    <w:p w14:paraId="309D4ABA" w14:textId="77777777" w:rsidR="002B3025" w:rsidRPr="002B3025" w:rsidRDefault="002B3025" w:rsidP="00B929BB">
      <w:pPr>
        <w:pStyle w:val="toa"/>
        <w:tabs>
          <w:tab w:val="clear" w:pos="9000"/>
          <w:tab w:val="clear" w:pos="9360"/>
          <w:tab w:val="left" w:pos="709"/>
        </w:tabs>
        <w:suppressAutoHyphens w:val="0"/>
        <w:jc w:val="both"/>
        <w:rPr>
          <w:rFonts w:ascii="Verdana" w:hAnsi="Verdana" w:cs="Arial"/>
          <w:bCs/>
          <w:sz w:val="20"/>
          <w:lang w:val="es-CO"/>
        </w:rPr>
      </w:pPr>
    </w:p>
    <w:p w14:paraId="55506E5E" w14:textId="04E28FA7" w:rsidR="00380948" w:rsidRPr="001C6CAB" w:rsidRDefault="00380948" w:rsidP="00380948">
      <w:pPr>
        <w:spacing w:after="0"/>
        <w:rPr>
          <w:rFonts w:ascii="Verdana" w:hAnsi="Verdana"/>
          <w:sz w:val="20"/>
          <w:szCs w:val="20"/>
        </w:rPr>
      </w:pPr>
      <w:r w:rsidRPr="001C6CAB">
        <w:rPr>
          <w:rFonts w:ascii="Verdana" w:hAnsi="Verdana"/>
          <w:sz w:val="20"/>
          <w:szCs w:val="20"/>
        </w:rPr>
        <w:t>1.1.3.</w:t>
      </w:r>
      <w:r>
        <w:rPr>
          <w:rFonts w:ascii="Verdana" w:hAnsi="Verdana"/>
          <w:sz w:val="20"/>
          <w:szCs w:val="20"/>
        </w:rPr>
        <w:t>8</w:t>
      </w:r>
      <w:r w:rsidR="00631465">
        <w:rPr>
          <w:rFonts w:ascii="Verdana" w:hAnsi="Verdana"/>
          <w:sz w:val="20"/>
          <w:szCs w:val="20"/>
        </w:rPr>
        <w:t>0</w:t>
      </w:r>
      <w:r w:rsidRPr="001C6CAB">
        <w:rPr>
          <w:rFonts w:ascii="Verdana" w:hAnsi="Verdana"/>
          <w:sz w:val="20"/>
          <w:szCs w:val="20"/>
        </w:rPr>
        <w:t>.</w:t>
      </w:r>
    </w:p>
    <w:p w14:paraId="1D4881DC" w14:textId="15384D7C" w:rsidR="002B3025" w:rsidRPr="002B3025" w:rsidRDefault="002B3025" w:rsidP="00B929BB">
      <w:pPr>
        <w:pStyle w:val="toa"/>
        <w:tabs>
          <w:tab w:val="clear" w:pos="9000"/>
          <w:tab w:val="clear" w:pos="9360"/>
          <w:tab w:val="left" w:pos="709"/>
        </w:tabs>
        <w:suppressAutoHyphens w:val="0"/>
        <w:jc w:val="both"/>
        <w:rPr>
          <w:rFonts w:ascii="Verdana" w:hAnsi="Verdana" w:cs="Arial"/>
          <w:bCs/>
          <w:sz w:val="20"/>
          <w:lang w:val="es-ES"/>
        </w:rPr>
      </w:pPr>
      <w:r w:rsidRPr="002B3025">
        <w:rPr>
          <w:rFonts w:ascii="Verdana" w:hAnsi="Verdana" w:cs="Arial"/>
          <w:bCs/>
          <w:sz w:val="20"/>
          <w:lang w:val="es-CO"/>
        </w:rPr>
        <w:t xml:space="preserve">Los créditos otorgados a las víctimas a las </w:t>
      </w:r>
      <w:r w:rsidRPr="00B900C8">
        <w:rPr>
          <w:rFonts w:ascii="Verdana" w:hAnsi="Verdana" w:cs="Arial"/>
          <w:bCs/>
          <w:sz w:val="20"/>
          <w:lang w:val="es-CO"/>
        </w:rPr>
        <w:t xml:space="preserve">que se refiere la Ley 1448 de 2011 y demás normas que la modifiquen o complementen deben cumplir con las instrucciones señaladas </w:t>
      </w:r>
      <w:r w:rsidRPr="00B900C8">
        <w:rPr>
          <w:rFonts w:ascii="Verdana" w:hAnsi="Verdana" w:cs="Arial"/>
          <w:bCs/>
          <w:sz w:val="20"/>
          <w:lang w:val="es-ES"/>
        </w:rPr>
        <w:t xml:space="preserve">en el anexo 5 del </w:t>
      </w:r>
      <w:r w:rsidR="00B900C8">
        <w:rPr>
          <w:rFonts w:ascii="Verdana" w:hAnsi="Verdana" w:cs="Arial"/>
          <w:bCs/>
          <w:sz w:val="20"/>
          <w:lang w:val="es-ES"/>
        </w:rPr>
        <w:t xml:space="preserve">presente capítulo. </w:t>
      </w:r>
    </w:p>
    <w:p w14:paraId="36B1A42F" w14:textId="77777777" w:rsidR="00E14F4B" w:rsidRDefault="00E14F4B" w:rsidP="00380948">
      <w:pPr>
        <w:spacing w:after="0"/>
        <w:rPr>
          <w:rFonts w:ascii="Verdana" w:hAnsi="Verdana"/>
          <w:sz w:val="20"/>
          <w:szCs w:val="20"/>
        </w:rPr>
      </w:pPr>
    </w:p>
    <w:p w14:paraId="425D6C7A" w14:textId="5CDAEA79" w:rsidR="00380948" w:rsidRPr="001C6CAB" w:rsidRDefault="00380948" w:rsidP="00380948">
      <w:pPr>
        <w:spacing w:after="0"/>
        <w:rPr>
          <w:rFonts w:ascii="Verdana" w:hAnsi="Verdana"/>
          <w:sz w:val="20"/>
          <w:szCs w:val="20"/>
        </w:rPr>
      </w:pPr>
      <w:r w:rsidRPr="001C6CAB">
        <w:rPr>
          <w:rFonts w:ascii="Verdana" w:hAnsi="Verdana"/>
          <w:sz w:val="20"/>
          <w:szCs w:val="20"/>
        </w:rPr>
        <w:t>1.1.3.</w:t>
      </w:r>
      <w:r>
        <w:rPr>
          <w:rFonts w:ascii="Verdana" w:hAnsi="Verdana"/>
          <w:sz w:val="20"/>
          <w:szCs w:val="20"/>
        </w:rPr>
        <w:t>8</w:t>
      </w:r>
      <w:r w:rsidR="00631465">
        <w:rPr>
          <w:rFonts w:ascii="Verdana" w:hAnsi="Verdana"/>
          <w:sz w:val="20"/>
          <w:szCs w:val="20"/>
        </w:rPr>
        <w:t>1</w:t>
      </w:r>
      <w:r w:rsidRPr="001C6CAB">
        <w:rPr>
          <w:rFonts w:ascii="Verdana" w:hAnsi="Verdana"/>
          <w:sz w:val="20"/>
          <w:szCs w:val="20"/>
        </w:rPr>
        <w:t>.</w:t>
      </w:r>
    </w:p>
    <w:p w14:paraId="40E67783" w14:textId="3FD110A3" w:rsidR="002B3025" w:rsidRDefault="00886F01" w:rsidP="00380948">
      <w:pPr>
        <w:pStyle w:val="toa"/>
        <w:tabs>
          <w:tab w:val="clear" w:pos="9000"/>
          <w:tab w:val="clear" w:pos="9360"/>
          <w:tab w:val="left" w:pos="709"/>
        </w:tabs>
        <w:suppressAutoHyphens w:val="0"/>
        <w:jc w:val="both"/>
        <w:rPr>
          <w:rFonts w:ascii="Verdana" w:hAnsi="Verdana" w:cs="Arial"/>
          <w:bCs/>
          <w:sz w:val="20"/>
          <w:lang w:val="es-CO"/>
        </w:rPr>
      </w:pPr>
      <w:r>
        <w:rPr>
          <w:rFonts w:ascii="Verdana" w:hAnsi="Verdana" w:cs="Arial"/>
          <w:bCs/>
          <w:sz w:val="20"/>
          <w:lang w:val="es-CO"/>
        </w:rPr>
        <w:t>En eventos de</w:t>
      </w:r>
      <w:r w:rsidR="00FD519A">
        <w:rPr>
          <w:rFonts w:ascii="Verdana" w:hAnsi="Verdana" w:cs="Arial"/>
          <w:bCs/>
          <w:sz w:val="20"/>
          <w:lang w:val="es-CO"/>
        </w:rPr>
        <w:t xml:space="preserve"> reestructuración</w:t>
      </w:r>
      <w:r>
        <w:rPr>
          <w:rFonts w:ascii="Verdana" w:hAnsi="Verdana" w:cs="Arial"/>
          <w:bCs/>
          <w:sz w:val="20"/>
          <w:lang w:val="es-CO"/>
        </w:rPr>
        <w:t>, l</w:t>
      </w:r>
      <w:r w:rsidR="002B3025" w:rsidRPr="002B3025">
        <w:rPr>
          <w:rFonts w:ascii="Verdana" w:hAnsi="Verdana" w:cs="Arial"/>
          <w:bCs/>
          <w:sz w:val="20"/>
          <w:lang w:val="es-CO"/>
        </w:rPr>
        <w:t xml:space="preserve">as operaciones con entes territoriales y entidades públicas deben dar cumplimiento a las </w:t>
      </w:r>
      <w:r w:rsidR="002B3025" w:rsidRPr="00B900C8">
        <w:rPr>
          <w:rFonts w:ascii="Verdana" w:hAnsi="Verdana" w:cs="Arial"/>
          <w:bCs/>
          <w:sz w:val="20"/>
          <w:lang w:val="es-CO"/>
        </w:rPr>
        <w:t xml:space="preserve">instrucciones del anexo </w:t>
      </w:r>
      <w:r w:rsidR="00B900C8" w:rsidRPr="00B900C8">
        <w:rPr>
          <w:rFonts w:ascii="Verdana" w:hAnsi="Verdana" w:cs="Arial"/>
          <w:bCs/>
          <w:sz w:val="20"/>
          <w:lang w:val="es-CO"/>
        </w:rPr>
        <w:t>4 del</w:t>
      </w:r>
      <w:r w:rsidR="00B900C8">
        <w:rPr>
          <w:rFonts w:ascii="Verdana" w:hAnsi="Verdana" w:cs="Arial"/>
          <w:bCs/>
          <w:sz w:val="20"/>
          <w:lang w:val="es-CO"/>
        </w:rPr>
        <w:t xml:space="preserve"> presente capítulo. </w:t>
      </w:r>
    </w:p>
    <w:p w14:paraId="2104F861" w14:textId="77777777" w:rsidR="000D3E68" w:rsidRPr="00A3358D" w:rsidRDefault="000D3E68" w:rsidP="00380948">
      <w:pPr>
        <w:pStyle w:val="toa"/>
        <w:tabs>
          <w:tab w:val="clear" w:pos="9000"/>
          <w:tab w:val="clear" w:pos="9360"/>
          <w:tab w:val="left" w:pos="709"/>
        </w:tabs>
        <w:suppressAutoHyphens w:val="0"/>
        <w:jc w:val="both"/>
        <w:rPr>
          <w:rFonts w:ascii="Verdana" w:hAnsi="Verdana" w:cs="Arial"/>
          <w:bCs/>
          <w:sz w:val="20"/>
          <w:lang w:val="es-CO"/>
        </w:rPr>
      </w:pPr>
    </w:p>
    <w:p w14:paraId="1315FC41" w14:textId="77777777" w:rsidR="000D3E68" w:rsidRDefault="000D3E68" w:rsidP="000D3E68">
      <w:pPr>
        <w:tabs>
          <w:tab w:val="left" w:pos="0"/>
        </w:tabs>
        <w:spacing w:after="0" w:line="240" w:lineRule="auto"/>
        <w:jc w:val="both"/>
        <w:rPr>
          <w:rFonts w:ascii="Verdana" w:hAnsi="Verdana" w:cs="Arial"/>
          <w:bCs/>
          <w:sz w:val="20"/>
          <w:szCs w:val="20"/>
        </w:rPr>
      </w:pPr>
    </w:p>
    <w:p w14:paraId="072E2230" w14:textId="77777777" w:rsidR="00631465" w:rsidRDefault="00631465">
      <w:pPr>
        <w:rPr>
          <w:rFonts w:ascii="Verdana" w:hAnsi="Verdana" w:cs="Arial"/>
          <w:b/>
          <w:sz w:val="20"/>
          <w:szCs w:val="20"/>
        </w:rPr>
      </w:pPr>
      <w:r>
        <w:rPr>
          <w:rFonts w:ascii="Verdana" w:hAnsi="Verdana" w:cs="Arial"/>
          <w:b/>
          <w:sz w:val="20"/>
          <w:szCs w:val="20"/>
        </w:rPr>
        <w:br w:type="page"/>
      </w:r>
    </w:p>
    <w:p w14:paraId="6483A496" w14:textId="2646DA36" w:rsidR="002B3025" w:rsidRPr="000D3E68" w:rsidRDefault="002B3025" w:rsidP="000D3E68">
      <w:pPr>
        <w:tabs>
          <w:tab w:val="left" w:pos="0"/>
        </w:tabs>
        <w:spacing w:after="0" w:line="240" w:lineRule="auto"/>
        <w:jc w:val="both"/>
        <w:rPr>
          <w:rFonts w:ascii="Verdana" w:hAnsi="Verdana" w:cs="Arial"/>
          <w:b/>
          <w:sz w:val="20"/>
          <w:szCs w:val="20"/>
          <w:lang w:val="es-ES"/>
        </w:rPr>
      </w:pPr>
      <w:r w:rsidRPr="000D3E68">
        <w:rPr>
          <w:rFonts w:ascii="Verdana" w:hAnsi="Verdana" w:cs="Arial"/>
          <w:b/>
          <w:sz w:val="20"/>
          <w:szCs w:val="20"/>
        </w:rPr>
        <w:lastRenderedPageBreak/>
        <w:t>MODELO DE RIESGO DE MERCADO</w:t>
      </w:r>
    </w:p>
    <w:p w14:paraId="04116A50" w14:textId="77777777" w:rsidR="00517BEE" w:rsidRDefault="00517BEE" w:rsidP="00A3358D">
      <w:pPr>
        <w:spacing w:after="0" w:line="240" w:lineRule="auto"/>
        <w:jc w:val="both"/>
        <w:rPr>
          <w:rFonts w:ascii="Verdana" w:hAnsi="Verdana" w:cs="Arial"/>
          <w:b/>
          <w:sz w:val="20"/>
          <w:szCs w:val="20"/>
        </w:rPr>
      </w:pPr>
    </w:p>
    <w:p w14:paraId="2D3939C2" w14:textId="1C6905D4" w:rsidR="002B3025" w:rsidRDefault="002B3025" w:rsidP="00A3358D">
      <w:pPr>
        <w:spacing w:after="0" w:line="240" w:lineRule="auto"/>
        <w:jc w:val="both"/>
        <w:rPr>
          <w:rFonts w:ascii="Verdana" w:hAnsi="Verdana" w:cs="Arial"/>
          <w:b/>
          <w:sz w:val="20"/>
          <w:szCs w:val="20"/>
        </w:rPr>
      </w:pPr>
      <w:r w:rsidRPr="000D3E68">
        <w:rPr>
          <w:rFonts w:ascii="Verdana" w:hAnsi="Verdana" w:cs="Arial"/>
          <w:b/>
          <w:sz w:val="20"/>
          <w:szCs w:val="20"/>
        </w:rPr>
        <w:t>Ámbito de aplicación</w:t>
      </w:r>
    </w:p>
    <w:p w14:paraId="02967F01" w14:textId="77777777" w:rsidR="00A3358D" w:rsidRPr="00A3358D" w:rsidRDefault="00A3358D" w:rsidP="00A3358D">
      <w:pPr>
        <w:spacing w:after="0" w:line="240" w:lineRule="auto"/>
        <w:jc w:val="both"/>
        <w:rPr>
          <w:rFonts w:ascii="Verdana" w:hAnsi="Verdana" w:cs="Arial"/>
          <w:b/>
          <w:sz w:val="20"/>
          <w:szCs w:val="20"/>
        </w:rPr>
      </w:pPr>
    </w:p>
    <w:p w14:paraId="3D394CDC" w14:textId="39965154" w:rsidR="000D3E68" w:rsidRPr="001C6CAB" w:rsidRDefault="000D3E68" w:rsidP="000D3E68">
      <w:pPr>
        <w:spacing w:after="0"/>
        <w:rPr>
          <w:rFonts w:ascii="Verdana" w:hAnsi="Verdana"/>
          <w:sz w:val="20"/>
          <w:szCs w:val="20"/>
        </w:rPr>
      </w:pPr>
      <w:r w:rsidRPr="001C6CAB">
        <w:rPr>
          <w:rFonts w:ascii="Verdana" w:hAnsi="Verdana"/>
          <w:sz w:val="20"/>
          <w:szCs w:val="20"/>
        </w:rPr>
        <w:t>1.1.3.</w:t>
      </w:r>
      <w:r w:rsidR="00E14F4B">
        <w:rPr>
          <w:rFonts w:ascii="Verdana" w:hAnsi="Verdana"/>
          <w:sz w:val="20"/>
          <w:szCs w:val="20"/>
        </w:rPr>
        <w:t>8</w:t>
      </w:r>
      <w:r w:rsidR="00A3358D">
        <w:rPr>
          <w:rFonts w:ascii="Verdana" w:hAnsi="Verdana"/>
          <w:sz w:val="20"/>
          <w:szCs w:val="20"/>
        </w:rPr>
        <w:t>2</w:t>
      </w:r>
      <w:r w:rsidRPr="001C6CAB">
        <w:rPr>
          <w:rFonts w:ascii="Verdana" w:hAnsi="Verdana"/>
          <w:sz w:val="20"/>
          <w:szCs w:val="20"/>
        </w:rPr>
        <w:t>.</w:t>
      </w:r>
    </w:p>
    <w:p w14:paraId="3BD8AD44" w14:textId="273195D2" w:rsidR="00FD1F10" w:rsidRDefault="002B3025" w:rsidP="00B929BB">
      <w:pPr>
        <w:jc w:val="both"/>
        <w:rPr>
          <w:rFonts w:ascii="Verdana" w:hAnsi="Verdana" w:cs="Arial"/>
          <w:bCs/>
          <w:sz w:val="20"/>
          <w:szCs w:val="20"/>
          <w:highlight w:val="yellow"/>
        </w:rPr>
      </w:pPr>
      <w:r w:rsidRPr="002B3025">
        <w:rPr>
          <w:rFonts w:ascii="Verdana" w:hAnsi="Verdana" w:cs="Arial"/>
          <w:bCs/>
          <w:sz w:val="20"/>
          <w:szCs w:val="20"/>
        </w:rPr>
        <w:t xml:space="preserve">En desarrollo de las operaciones autorizadas, incluidas las de tesorería, las siguientes entidades deben </w:t>
      </w:r>
      <w:r w:rsidRPr="005411C7">
        <w:rPr>
          <w:rFonts w:ascii="Verdana" w:hAnsi="Verdana" w:cs="Arial"/>
          <w:bCs/>
          <w:sz w:val="20"/>
          <w:szCs w:val="20"/>
        </w:rPr>
        <w:t>cumplir con las instrucciones</w:t>
      </w:r>
      <w:r w:rsidRPr="005411C7" w:rsidDel="00954F9F">
        <w:rPr>
          <w:rFonts w:ascii="Verdana" w:hAnsi="Verdana" w:cs="Arial"/>
          <w:bCs/>
          <w:sz w:val="20"/>
          <w:szCs w:val="20"/>
        </w:rPr>
        <w:t xml:space="preserve"> </w:t>
      </w:r>
      <w:r w:rsidR="00FD1F10" w:rsidRPr="005411C7">
        <w:rPr>
          <w:rFonts w:ascii="Verdana" w:hAnsi="Verdana" w:cs="Arial"/>
          <w:bCs/>
          <w:sz w:val="20"/>
          <w:szCs w:val="20"/>
        </w:rPr>
        <w:t>relacionadas</w:t>
      </w:r>
      <w:r w:rsidR="00FD1F10">
        <w:rPr>
          <w:rFonts w:ascii="Verdana" w:hAnsi="Verdana" w:cs="Arial"/>
          <w:bCs/>
          <w:sz w:val="20"/>
          <w:szCs w:val="20"/>
        </w:rPr>
        <w:t xml:space="preserve"> con el modelo de riesgo de mercado</w:t>
      </w:r>
      <w:r w:rsidR="005411C7">
        <w:rPr>
          <w:rFonts w:ascii="Verdana" w:hAnsi="Verdana" w:cs="Arial"/>
          <w:bCs/>
          <w:sz w:val="20"/>
          <w:szCs w:val="20"/>
        </w:rPr>
        <w:t>:</w:t>
      </w:r>
    </w:p>
    <w:p w14:paraId="383BA31E" w14:textId="2323E883" w:rsidR="002B3025" w:rsidRDefault="002B3025" w:rsidP="00634E67">
      <w:pPr>
        <w:pStyle w:val="Prrafodelista"/>
        <w:numPr>
          <w:ilvl w:val="4"/>
          <w:numId w:val="15"/>
        </w:numPr>
        <w:spacing w:after="0" w:line="240" w:lineRule="auto"/>
        <w:ind w:left="567" w:hanging="567"/>
        <w:jc w:val="both"/>
        <w:rPr>
          <w:rFonts w:ascii="Verdana" w:hAnsi="Verdana" w:cs="Arial"/>
          <w:sz w:val="20"/>
          <w:szCs w:val="20"/>
        </w:rPr>
      </w:pPr>
      <w:r w:rsidRPr="12B437D6">
        <w:rPr>
          <w:rFonts w:ascii="Verdana" w:hAnsi="Verdana" w:cs="Arial"/>
          <w:sz w:val="20"/>
          <w:szCs w:val="20"/>
        </w:rPr>
        <w:t>Los EC, las IOE, y las SCBV respecto de sus operaciones por cuenta propia y con recursos propios y las entidades de seguros generales en lo correspondiente a los activos que respaldan las reservas técnicas.</w:t>
      </w:r>
    </w:p>
    <w:p w14:paraId="73463C90" w14:textId="77777777" w:rsidR="000246A3" w:rsidRPr="002B3025" w:rsidRDefault="000246A3" w:rsidP="004B7A51">
      <w:pPr>
        <w:pStyle w:val="Prrafodelista"/>
        <w:spacing w:after="0" w:line="240" w:lineRule="auto"/>
        <w:ind w:left="567" w:hanging="567"/>
        <w:jc w:val="both"/>
        <w:rPr>
          <w:rFonts w:ascii="Verdana" w:hAnsi="Verdana" w:cs="Arial"/>
          <w:bCs/>
          <w:sz w:val="20"/>
          <w:szCs w:val="20"/>
        </w:rPr>
      </w:pPr>
    </w:p>
    <w:p w14:paraId="4F7F0E05" w14:textId="65AFC4F5" w:rsidR="002B3025" w:rsidRDefault="002B3025" w:rsidP="00634E67">
      <w:pPr>
        <w:pStyle w:val="Prrafodelista"/>
        <w:numPr>
          <w:ilvl w:val="4"/>
          <w:numId w:val="15"/>
        </w:numPr>
        <w:spacing w:after="0" w:line="240" w:lineRule="auto"/>
        <w:ind w:left="567" w:hanging="567"/>
        <w:jc w:val="both"/>
        <w:rPr>
          <w:rFonts w:ascii="Verdana" w:hAnsi="Verdana" w:cs="Arial"/>
          <w:sz w:val="20"/>
          <w:szCs w:val="20"/>
        </w:rPr>
      </w:pPr>
      <w:r w:rsidRPr="12B437D6">
        <w:rPr>
          <w:rFonts w:ascii="Verdana" w:hAnsi="Verdana" w:cs="Arial"/>
          <w:sz w:val="20"/>
          <w:szCs w:val="20"/>
        </w:rPr>
        <w:t>FIC o fondos administrados por SCBV.</w:t>
      </w:r>
    </w:p>
    <w:p w14:paraId="388120A1" w14:textId="77777777" w:rsidR="000246A3" w:rsidRPr="002B3025" w:rsidRDefault="000246A3" w:rsidP="004B7A51">
      <w:pPr>
        <w:pStyle w:val="Prrafodelista"/>
        <w:spacing w:after="0" w:line="240" w:lineRule="auto"/>
        <w:ind w:left="567" w:hanging="567"/>
        <w:jc w:val="both"/>
        <w:rPr>
          <w:rFonts w:ascii="Verdana" w:hAnsi="Verdana" w:cs="Arial"/>
          <w:bCs/>
          <w:sz w:val="20"/>
          <w:szCs w:val="20"/>
        </w:rPr>
      </w:pPr>
    </w:p>
    <w:p w14:paraId="0ECE6CDB" w14:textId="674F806E" w:rsidR="000246A3" w:rsidRPr="00C45250" w:rsidRDefault="002B3025" w:rsidP="004E7432">
      <w:pPr>
        <w:pStyle w:val="Prrafodelista"/>
        <w:numPr>
          <w:ilvl w:val="4"/>
          <w:numId w:val="15"/>
        </w:numPr>
        <w:spacing w:after="0" w:line="240" w:lineRule="auto"/>
        <w:ind w:left="708" w:hanging="708"/>
        <w:jc w:val="both"/>
        <w:rPr>
          <w:rFonts w:ascii="Verdana" w:hAnsi="Verdana" w:cs="Arial"/>
          <w:sz w:val="20"/>
          <w:szCs w:val="20"/>
        </w:rPr>
      </w:pPr>
      <w:r w:rsidRPr="12B437D6">
        <w:rPr>
          <w:rFonts w:ascii="Verdana" w:hAnsi="Verdana" w:cs="Arial"/>
          <w:sz w:val="20"/>
          <w:szCs w:val="20"/>
        </w:rPr>
        <w:t xml:space="preserve">Las SF, sociedades administradoras de fondos de pensiones y cesantía, las entidades administradoras del régimen solidario de prima media, SAI, las compañías de seguros de vida, las entidades de seguros generales correspondiente a sus activos de libre inversión, las sociedades de capitalización, así como los FICs </w:t>
      </w:r>
      <w:r w:rsidRPr="00C45250">
        <w:rPr>
          <w:rFonts w:ascii="Verdana" w:hAnsi="Verdana" w:cs="Arial"/>
          <w:sz w:val="20"/>
          <w:szCs w:val="20"/>
        </w:rPr>
        <w:t>y fondos que estas administren.</w:t>
      </w:r>
    </w:p>
    <w:p w14:paraId="2032CCE0" w14:textId="77777777" w:rsidR="000246A3" w:rsidRPr="00C45250" w:rsidRDefault="000246A3" w:rsidP="004B7A51">
      <w:pPr>
        <w:pStyle w:val="Prrafodelista"/>
        <w:ind w:left="567" w:hanging="567"/>
        <w:rPr>
          <w:rFonts w:ascii="Verdana" w:hAnsi="Verdana" w:cs="Arial"/>
          <w:bCs/>
          <w:sz w:val="20"/>
          <w:szCs w:val="20"/>
        </w:rPr>
      </w:pPr>
    </w:p>
    <w:p w14:paraId="40D6ACD3" w14:textId="481C4444" w:rsidR="002B3025" w:rsidRPr="00C45250" w:rsidRDefault="002B3025" w:rsidP="00B929BB">
      <w:pPr>
        <w:pStyle w:val="Prrafodelista"/>
        <w:numPr>
          <w:ilvl w:val="4"/>
          <w:numId w:val="15"/>
        </w:numPr>
        <w:spacing w:after="0" w:line="240" w:lineRule="auto"/>
        <w:ind w:left="567" w:hanging="567"/>
        <w:jc w:val="both"/>
        <w:rPr>
          <w:rFonts w:ascii="Verdana" w:hAnsi="Verdana" w:cs="Arial"/>
          <w:bCs/>
          <w:sz w:val="20"/>
          <w:szCs w:val="20"/>
        </w:rPr>
      </w:pPr>
      <w:r w:rsidRPr="00C45250">
        <w:rPr>
          <w:rFonts w:ascii="Verdana" w:hAnsi="Verdana" w:cs="Arial"/>
          <w:bCs/>
          <w:sz w:val="20"/>
          <w:szCs w:val="20"/>
        </w:rPr>
        <w:t>Los fondos y/o fideicomisos señalados en el</w:t>
      </w:r>
      <w:r w:rsidR="00C45250" w:rsidRPr="00C45250">
        <w:rPr>
          <w:rFonts w:ascii="Verdana" w:hAnsi="Verdana" w:cs="Arial"/>
          <w:bCs/>
          <w:sz w:val="20"/>
          <w:szCs w:val="20"/>
        </w:rPr>
        <w:t xml:space="preserve"> párrafo 1.1.2.92. de la </w:t>
      </w:r>
      <w:r w:rsidR="006317A5">
        <w:rPr>
          <w:rFonts w:ascii="Verdana" w:hAnsi="Verdana" w:cs="Arial"/>
          <w:bCs/>
          <w:sz w:val="20"/>
          <w:szCs w:val="20"/>
        </w:rPr>
        <w:t>CBF</w:t>
      </w:r>
      <w:r w:rsidR="00C45250" w:rsidRPr="00C45250">
        <w:rPr>
          <w:rFonts w:ascii="Verdana" w:hAnsi="Verdana" w:cs="Arial"/>
          <w:bCs/>
          <w:sz w:val="20"/>
          <w:szCs w:val="20"/>
        </w:rPr>
        <w:t>.</w:t>
      </w:r>
    </w:p>
    <w:p w14:paraId="6150DAA3" w14:textId="77777777" w:rsidR="00A3358D" w:rsidRDefault="00A3358D" w:rsidP="00A3358D">
      <w:pPr>
        <w:spacing w:after="0" w:line="240" w:lineRule="auto"/>
        <w:jc w:val="both"/>
        <w:rPr>
          <w:rFonts w:ascii="Verdana" w:hAnsi="Verdana" w:cs="Arial"/>
          <w:b/>
          <w:sz w:val="20"/>
          <w:szCs w:val="20"/>
        </w:rPr>
      </w:pPr>
      <w:bookmarkStart w:id="0" w:name="OLE_LINK1"/>
      <w:bookmarkStart w:id="1" w:name="OLE_LINK2"/>
    </w:p>
    <w:p w14:paraId="4C92239A" w14:textId="1C541907" w:rsidR="002B3025" w:rsidRDefault="002B3025" w:rsidP="00A3358D">
      <w:pPr>
        <w:spacing w:after="0" w:line="240" w:lineRule="auto"/>
        <w:jc w:val="both"/>
        <w:rPr>
          <w:rFonts w:ascii="Verdana" w:hAnsi="Verdana" w:cs="Arial"/>
          <w:b/>
          <w:sz w:val="20"/>
          <w:szCs w:val="20"/>
        </w:rPr>
      </w:pPr>
      <w:r w:rsidRPr="004B7A51">
        <w:rPr>
          <w:rFonts w:ascii="Verdana" w:hAnsi="Verdana" w:cs="Arial"/>
          <w:b/>
          <w:sz w:val="20"/>
          <w:szCs w:val="20"/>
        </w:rPr>
        <w:t>Metodología de medición</w:t>
      </w:r>
    </w:p>
    <w:p w14:paraId="73EDCE9F" w14:textId="77777777" w:rsidR="00A3358D" w:rsidRPr="00A3358D" w:rsidRDefault="00A3358D" w:rsidP="00A3358D">
      <w:pPr>
        <w:spacing w:after="0" w:line="240" w:lineRule="auto"/>
        <w:jc w:val="both"/>
        <w:rPr>
          <w:rFonts w:ascii="Verdana" w:hAnsi="Verdana" w:cs="Arial"/>
          <w:b/>
          <w:sz w:val="20"/>
          <w:szCs w:val="20"/>
        </w:rPr>
      </w:pPr>
    </w:p>
    <w:p w14:paraId="3A4EF380" w14:textId="36276C45" w:rsidR="004B7A51" w:rsidRPr="001C6CAB" w:rsidRDefault="004B7A51" w:rsidP="004B7A51">
      <w:pPr>
        <w:spacing w:after="0"/>
        <w:rPr>
          <w:rFonts w:ascii="Verdana" w:hAnsi="Verdana"/>
          <w:sz w:val="20"/>
          <w:szCs w:val="20"/>
        </w:rPr>
      </w:pPr>
      <w:r w:rsidRPr="001C6CAB">
        <w:rPr>
          <w:rFonts w:ascii="Verdana" w:hAnsi="Verdana"/>
          <w:sz w:val="20"/>
          <w:szCs w:val="20"/>
        </w:rPr>
        <w:t>1.1.3.</w:t>
      </w:r>
      <w:r>
        <w:rPr>
          <w:rFonts w:ascii="Verdana" w:hAnsi="Verdana"/>
          <w:sz w:val="20"/>
          <w:szCs w:val="20"/>
        </w:rPr>
        <w:t>8</w:t>
      </w:r>
      <w:r w:rsidR="00A3358D">
        <w:rPr>
          <w:rFonts w:ascii="Verdana" w:hAnsi="Verdana"/>
          <w:sz w:val="20"/>
          <w:szCs w:val="20"/>
        </w:rPr>
        <w:t>3</w:t>
      </w:r>
      <w:r w:rsidRPr="001C6CAB">
        <w:rPr>
          <w:rFonts w:ascii="Verdana" w:hAnsi="Verdana"/>
          <w:sz w:val="20"/>
          <w:szCs w:val="20"/>
        </w:rPr>
        <w:t>.</w:t>
      </w:r>
    </w:p>
    <w:p w14:paraId="6C78FF00" w14:textId="0B98E176" w:rsidR="002B3025" w:rsidRDefault="002B3025" w:rsidP="00B929BB">
      <w:pPr>
        <w:jc w:val="both"/>
        <w:rPr>
          <w:rFonts w:ascii="Verdana" w:hAnsi="Verdana" w:cs="Arial"/>
          <w:bCs/>
          <w:sz w:val="20"/>
          <w:szCs w:val="20"/>
        </w:rPr>
      </w:pPr>
      <w:r w:rsidRPr="00BE2A39">
        <w:rPr>
          <w:rFonts w:ascii="Verdana" w:hAnsi="Verdana" w:cs="Arial"/>
          <w:bCs/>
          <w:sz w:val="20"/>
          <w:szCs w:val="20"/>
        </w:rPr>
        <w:t xml:space="preserve">Para el cálculo del riesgo de mercado, las entidades señaladas en el literal </w:t>
      </w:r>
      <w:r w:rsidR="001E1C2E" w:rsidRPr="00BE2A39">
        <w:rPr>
          <w:rFonts w:ascii="Verdana" w:hAnsi="Verdana" w:cs="Arial"/>
          <w:bCs/>
          <w:sz w:val="20"/>
          <w:szCs w:val="20"/>
        </w:rPr>
        <w:t>(</w:t>
      </w:r>
      <w:r w:rsidRPr="00BE2A39">
        <w:rPr>
          <w:rFonts w:ascii="Verdana" w:hAnsi="Verdana" w:cs="Arial"/>
          <w:bCs/>
          <w:sz w:val="20"/>
          <w:szCs w:val="20"/>
        </w:rPr>
        <w:t>a</w:t>
      </w:r>
      <w:r w:rsidR="001E1C2E" w:rsidRPr="00BE2A39">
        <w:rPr>
          <w:rFonts w:ascii="Verdana" w:hAnsi="Verdana" w:cs="Arial"/>
          <w:bCs/>
          <w:sz w:val="20"/>
          <w:szCs w:val="20"/>
        </w:rPr>
        <w:t>)</w:t>
      </w:r>
      <w:r w:rsidRPr="00BE2A39">
        <w:rPr>
          <w:rFonts w:ascii="Verdana" w:hAnsi="Verdana" w:cs="Arial"/>
          <w:bCs/>
          <w:sz w:val="20"/>
          <w:szCs w:val="20"/>
        </w:rPr>
        <w:t xml:space="preserve"> del </w:t>
      </w:r>
      <w:r w:rsidR="00B978C5" w:rsidRPr="00BE2A39">
        <w:rPr>
          <w:rFonts w:ascii="Verdana" w:hAnsi="Verdana" w:cs="Arial"/>
          <w:bCs/>
          <w:sz w:val="20"/>
          <w:szCs w:val="20"/>
        </w:rPr>
        <w:t xml:space="preserve">párrafo </w:t>
      </w:r>
      <w:r w:rsidR="00D45FB9" w:rsidRPr="00BE2A39">
        <w:rPr>
          <w:rFonts w:ascii="Verdana" w:hAnsi="Verdana" w:cs="Arial"/>
          <w:bCs/>
          <w:sz w:val="20"/>
          <w:szCs w:val="20"/>
        </w:rPr>
        <w:t>1.1.3.8</w:t>
      </w:r>
      <w:r w:rsidR="001E1C2E" w:rsidRPr="00BE2A39">
        <w:rPr>
          <w:rFonts w:ascii="Verdana" w:hAnsi="Verdana" w:cs="Arial"/>
          <w:bCs/>
          <w:sz w:val="20"/>
          <w:szCs w:val="20"/>
        </w:rPr>
        <w:t>2</w:t>
      </w:r>
      <w:r w:rsidR="00D45FB9" w:rsidRPr="00BE2A39">
        <w:rPr>
          <w:rFonts w:ascii="Verdana" w:hAnsi="Verdana" w:cs="Arial"/>
          <w:bCs/>
          <w:sz w:val="20"/>
          <w:szCs w:val="20"/>
        </w:rPr>
        <w:t>.</w:t>
      </w:r>
      <w:r w:rsidRPr="00BE2A39">
        <w:rPr>
          <w:rFonts w:ascii="Verdana" w:hAnsi="Verdana" w:cs="Arial"/>
          <w:bCs/>
          <w:sz w:val="20"/>
          <w:szCs w:val="20"/>
        </w:rPr>
        <w:t xml:space="preserve"> pueden aplicar el modelo estándar de acuerdo con las instrucciones señaladas </w:t>
      </w:r>
      <w:r w:rsidR="001816A8" w:rsidRPr="00BE2A39">
        <w:rPr>
          <w:rFonts w:ascii="Verdana" w:hAnsi="Verdana" w:cs="Arial"/>
          <w:bCs/>
          <w:sz w:val="20"/>
          <w:szCs w:val="20"/>
        </w:rPr>
        <w:t xml:space="preserve">desde el </w:t>
      </w:r>
      <w:r w:rsidR="00036D22" w:rsidRPr="00BE2A39">
        <w:rPr>
          <w:rFonts w:ascii="Verdana" w:hAnsi="Verdana" w:cs="Arial"/>
          <w:bCs/>
          <w:sz w:val="20"/>
          <w:szCs w:val="20"/>
        </w:rPr>
        <w:t xml:space="preserve">párrafo </w:t>
      </w:r>
      <w:r w:rsidR="002C67CD" w:rsidRPr="00BE2A39">
        <w:rPr>
          <w:rFonts w:ascii="Verdana" w:hAnsi="Verdana" w:cs="Arial"/>
          <w:bCs/>
          <w:sz w:val="20"/>
          <w:szCs w:val="20"/>
        </w:rPr>
        <w:t>1.1.3.</w:t>
      </w:r>
      <w:r w:rsidR="00036D22" w:rsidRPr="00BE2A39">
        <w:rPr>
          <w:rFonts w:ascii="Verdana" w:hAnsi="Verdana" w:cs="Arial"/>
          <w:bCs/>
          <w:sz w:val="20"/>
          <w:szCs w:val="20"/>
        </w:rPr>
        <w:t>85.</w:t>
      </w:r>
      <w:r w:rsidR="002C67CD" w:rsidRPr="00BE2A39">
        <w:rPr>
          <w:rFonts w:ascii="Verdana" w:hAnsi="Verdana" w:cs="Arial"/>
          <w:bCs/>
          <w:sz w:val="20"/>
          <w:szCs w:val="20"/>
        </w:rPr>
        <w:t xml:space="preserve"> hasta el 1.1.3.10</w:t>
      </w:r>
      <w:r w:rsidR="009E039F" w:rsidRPr="00BE2A39">
        <w:rPr>
          <w:rFonts w:ascii="Verdana" w:hAnsi="Verdana" w:cs="Arial"/>
          <w:bCs/>
          <w:sz w:val="20"/>
          <w:szCs w:val="20"/>
        </w:rPr>
        <w:t>0</w:t>
      </w:r>
      <w:r w:rsidR="002C67CD" w:rsidRPr="00BE2A39">
        <w:rPr>
          <w:rFonts w:ascii="Verdana" w:hAnsi="Verdana" w:cs="Arial"/>
          <w:bCs/>
          <w:sz w:val="20"/>
          <w:szCs w:val="20"/>
        </w:rPr>
        <w:t>.</w:t>
      </w:r>
      <w:r w:rsidRPr="00BE2A39">
        <w:rPr>
          <w:rFonts w:ascii="Verdana" w:hAnsi="Verdana" w:cs="Arial"/>
          <w:bCs/>
          <w:sz w:val="20"/>
          <w:szCs w:val="20"/>
        </w:rPr>
        <w:t>, o el modelo interno, siempre que este cuente con un pronunciamiento de no objeción por parte de la SFC en los términos establecidos en</w:t>
      </w:r>
      <w:r w:rsidR="006716ED">
        <w:rPr>
          <w:rFonts w:ascii="Verdana" w:hAnsi="Verdana" w:cs="Arial"/>
          <w:bCs/>
          <w:sz w:val="20"/>
          <w:szCs w:val="20"/>
        </w:rPr>
        <w:t>tre</w:t>
      </w:r>
      <w:r w:rsidRPr="00BE2A39">
        <w:rPr>
          <w:rFonts w:ascii="Verdana" w:hAnsi="Verdana" w:cs="Arial"/>
          <w:bCs/>
          <w:sz w:val="20"/>
          <w:szCs w:val="20"/>
        </w:rPr>
        <w:t xml:space="preserve"> l</w:t>
      </w:r>
      <w:r w:rsidR="005852E0" w:rsidRPr="00BE2A39">
        <w:rPr>
          <w:rFonts w:ascii="Verdana" w:hAnsi="Verdana" w:cs="Arial"/>
          <w:bCs/>
          <w:sz w:val="20"/>
          <w:szCs w:val="20"/>
        </w:rPr>
        <w:t>os</w:t>
      </w:r>
      <w:r w:rsidRPr="00BE2A39">
        <w:rPr>
          <w:rFonts w:ascii="Verdana" w:hAnsi="Verdana" w:cs="Arial"/>
          <w:bCs/>
          <w:sz w:val="20"/>
          <w:szCs w:val="20"/>
        </w:rPr>
        <w:t xml:space="preserve"> </w:t>
      </w:r>
      <w:r w:rsidR="005852E0" w:rsidRPr="00BE2A39">
        <w:rPr>
          <w:rFonts w:ascii="Verdana" w:hAnsi="Verdana" w:cs="Arial"/>
          <w:bCs/>
          <w:sz w:val="20"/>
          <w:szCs w:val="20"/>
        </w:rPr>
        <w:t>párrafos 1.1.3.10</w:t>
      </w:r>
      <w:r w:rsidR="00182D07" w:rsidRPr="00BE2A39">
        <w:rPr>
          <w:rFonts w:ascii="Verdana" w:hAnsi="Verdana" w:cs="Arial"/>
          <w:bCs/>
          <w:sz w:val="20"/>
          <w:szCs w:val="20"/>
        </w:rPr>
        <w:t>1</w:t>
      </w:r>
      <w:r w:rsidR="005852E0" w:rsidRPr="00BE2A39">
        <w:rPr>
          <w:rFonts w:ascii="Verdana" w:hAnsi="Verdana" w:cs="Arial"/>
          <w:bCs/>
          <w:sz w:val="20"/>
          <w:szCs w:val="20"/>
        </w:rPr>
        <w:t xml:space="preserve">. </w:t>
      </w:r>
      <w:r w:rsidR="00715806">
        <w:rPr>
          <w:rFonts w:ascii="Verdana" w:hAnsi="Verdana" w:cs="Arial"/>
          <w:bCs/>
          <w:sz w:val="20"/>
          <w:szCs w:val="20"/>
        </w:rPr>
        <w:t>y</w:t>
      </w:r>
      <w:r w:rsidR="00FA604D" w:rsidRPr="00BE2A39">
        <w:rPr>
          <w:rFonts w:ascii="Verdana" w:hAnsi="Verdana" w:cs="Arial"/>
          <w:bCs/>
          <w:sz w:val="20"/>
          <w:szCs w:val="20"/>
        </w:rPr>
        <w:t>1.1.3.1</w:t>
      </w:r>
      <w:r w:rsidR="00BE2A39" w:rsidRPr="00BE2A39">
        <w:rPr>
          <w:rFonts w:ascii="Verdana" w:hAnsi="Verdana" w:cs="Arial"/>
          <w:bCs/>
          <w:sz w:val="20"/>
          <w:szCs w:val="20"/>
        </w:rPr>
        <w:t>17</w:t>
      </w:r>
      <w:r w:rsidR="00FA604D" w:rsidRPr="00BE2A39">
        <w:rPr>
          <w:rFonts w:ascii="Verdana" w:hAnsi="Verdana" w:cs="Arial"/>
          <w:bCs/>
          <w:sz w:val="20"/>
          <w:szCs w:val="20"/>
        </w:rPr>
        <w:t>.</w:t>
      </w:r>
      <w:r w:rsidR="002E400D" w:rsidRPr="00BE2A39">
        <w:rPr>
          <w:rFonts w:ascii="Verdana" w:hAnsi="Verdana" w:cs="Arial"/>
          <w:bCs/>
          <w:sz w:val="20"/>
          <w:szCs w:val="20"/>
        </w:rPr>
        <w:t xml:space="preserve"> </w:t>
      </w:r>
    </w:p>
    <w:p w14:paraId="330643A2" w14:textId="5AAFAE1A" w:rsidR="00750BEF" w:rsidRPr="001C6CAB" w:rsidRDefault="00750BEF" w:rsidP="00750BEF">
      <w:pPr>
        <w:spacing w:after="0"/>
        <w:rPr>
          <w:rFonts w:ascii="Verdana" w:hAnsi="Verdana"/>
          <w:sz w:val="20"/>
          <w:szCs w:val="20"/>
        </w:rPr>
      </w:pPr>
      <w:r w:rsidRPr="001C6CAB">
        <w:rPr>
          <w:rFonts w:ascii="Verdana" w:hAnsi="Verdana"/>
          <w:sz w:val="20"/>
          <w:szCs w:val="20"/>
        </w:rPr>
        <w:t>1.1.3.</w:t>
      </w:r>
      <w:r>
        <w:rPr>
          <w:rFonts w:ascii="Verdana" w:hAnsi="Verdana"/>
          <w:sz w:val="20"/>
          <w:szCs w:val="20"/>
        </w:rPr>
        <w:t>8</w:t>
      </w:r>
      <w:r w:rsidR="00A3358D">
        <w:rPr>
          <w:rFonts w:ascii="Verdana" w:hAnsi="Verdana"/>
          <w:sz w:val="20"/>
          <w:szCs w:val="20"/>
        </w:rPr>
        <w:t>4</w:t>
      </w:r>
      <w:r w:rsidRPr="001C6CAB">
        <w:rPr>
          <w:rFonts w:ascii="Verdana" w:hAnsi="Verdana"/>
          <w:sz w:val="20"/>
          <w:szCs w:val="20"/>
        </w:rPr>
        <w:t>.</w:t>
      </w:r>
    </w:p>
    <w:p w14:paraId="058821C8" w14:textId="007E9422" w:rsidR="00750BEF" w:rsidRPr="00A3358D" w:rsidRDefault="002B3025" w:rsidP="00A3358D">
      <w:pPr>
        <w:jc w:val="both"/>
        <w:rPr>
          <w:rFonts w:ascii="Verdana" w:hAnsi="Verdana" w:cs="Arial"/>
          <w:sz w:val="20"/>
          <w:szCs w:val="20"/>
        </w:rPr>
      </w:pPr>
      <w:r w:rsidRPr="12B437D6">
        <w:rPr>
          <w:rFonts w:ascii="Verdana" w:hAnsi="Verdana" w:cs="Arial"/>
          <w:sz w:val="20"/>
          <w:szCs w:val="20"/>
        </w:rPr>
        <w:t xml:space="preserve">Las entidades señaladas en los </w:t>
      </w:r>
      <w:r w:rsidRPr="009B4B2E">
        <w:rPr>
          <w:rFonts w:ascii="Verdana" w:hAnsi="Verdana" w:cs="Arial"/>
          <w:sz w:val="20"/>
          <w:szCs w:val="20"/>
        </w:rPr>
        <w:t xml:space="preserve">demás literales del </w:t>
      </w:r>
      <w:r w:rsidR="00F55F88" w:rsidRPr="009B4B2E">
        <w:rPr>
          <w:rFonts w:ascii="Verdana" w:hAnsi="Verdana" w:cs="Arial"/>
          <w:bCs/>
          <w:sz w:val="20"/>
          <w:szCs w:val="20"/>
        </w:rPr>
        <w:t xml:space="preserve">párrafo 1.1.3.82. </w:t>
      </w:r>
      <w:r w:rsidRPr="009B4B2E">
        <w:rPr>
          <w:rFonts w:ascii="Verdana" w:hAnsi="Verdana" w:cs="Arial"/>
          <w:sz w:val="20"/>
          <w:szCs w:val="20"/>
        </w:rPr>
        <w:t>de la presente</w:t>
      </w:r>
      <w:r w:rsidR="001E197C" w:rsidRPr="009B4B2E">
        <w:rPr>
          <w:rFonts w:ascii="Verdana" w:hAnsi="Verdana" w:cs="Arial"/>
          <w:sz w:val="20"/>
          <w:szCs w:val="20"/>
        </w:rPr>
        <w:t xml:space="preserve"> sección </w:t>
      </w:r>
      <w:r w:rsidRPr="009B4B2E">
        <w:rPr>
          <w:rFonts w:ascii="Verdana" w:hAnsi="Verdana" w:cs="Arial"/>
          <w:sz w:val="20"/>
          <w:szCs w:val="20"/>
        </w:rPr>
        <w:t>deben aplicar el modelo estándar de acuerdo con las instrucciones señaladas e</w:t>
      </w:r>
      <w:bookmarkEnd w:id="0"/>
      <w:bookmarkEnd w:id="1"/>
      <w:r w:rsidR="00D24CAF" w:rsidRPr="009B4B2E">
        <w:rPr>
          <w:rFonts w:ascii="Verdana" w:hAnsi="Verdana" w:cs="Arial"/>
          <w:sz w:val="20"/>
          <w:szCs w:val="20"/>
        </w:rPr>
        <w:t>ntre los párrafos 1.1.3.</w:t>
      </w:r>
      <w:r w:rsidR="00257A8D" w:rsidRPr="009B4B2E">
        <w:rPr>
          <w:rFonts w:ascii="Verdana" w:hAnsi="Verdana" w:cs="Arial"/>
          <w:sz w:val="20"/>
          <w:szCs w:val="20"/>
        </w:rPr>
        <w:t>83</w:t>
      </w:r>
      <w:r w:rsidR="00783629" w:rsidRPr="009B4B2E">
        <w:rPr>
          <w:rFonts w:ascii="Verdana" w:hAnsi="Verdana" w:cs="Arial"/>
          <w:sz w:val="20"/>
          <w:szCs w:val="20"/>
        </w:rPr>
        <w:t>. y 1.1.3.1</w:t>
      </w:r>
      <w:r w:rsidR="006B11DD" w:rsidRPr="009B4B2E">
        <w:rPr>
          <w:rFonts w:ascii="Verdana" w:hAnsi="Verdana" w:cs="Arial"/>
          <w:sz w:val="20"/>
          <w:szCs w:val="20"/>
        </w:rPr>
        <w:t>17.</w:t>
      </w:r>
      <w:r w:rsidR="006B11DD">
        <w:rPr>
          <w:rFonts w:ascii="Verdana" w:hAnsi="Verdana" w:cs="Arial"/>
          <w:sz w:val="20"/>
          <w:szCs w:val="20"/>
        </w:rPr>
        <w:t xml:space="preserve"> </w:t>
      </w:r>
    </w:p>
    <w:p w14:paraId="4D6EE8BB" w14:textId="55972B7C" w:rsidR="002B3025" w:rsidRPr="002E400D" w:rsidRDefault="002B3025" w:rsidP="00551D66">
      <w:pPr>
        <w:pStyle w:val="Prrafodelista"/>
        <w:numPr>
          <w:ilvl w:val="0"/>
          <w:numId w:val="39"/>
        </w:numPr>
        <w:spacing w:after="0" w:line="240" w:lineRule="auto"/>
        <w:ind w:left="284" w:hanging="284"/>
        <w:jc w:val="both"/>
        <w:rPr>
          <w:rFonts w:ascii="Verdana" w:hAnsi="Verdana" w:cs="Arial"/>
          <w:b/>
          <w:sz w:val="20"/>
          <w:szCs w:val="20"/>
        </w:rPr>
      </w:pPr>
      <w:r w:rsidRPr="002E400D">
        <w:rPr>
          <w:rFonts w:ascii="Verdana" w:hAnsi="Verdana" w:cs="Arial"/>
          <w:b/>
          <w:sz w:val="20"/>
          <w:szCs w:val="20"/>
        </w:rPr>
        <w:t>Modelo estándar de medición</w:t>
      </w:r>
    </w:p>
    <w:p w14:paraId="03A56BE8" w14:textId="77777777" w:rsidR="00A3358D" w:rsidRPr="00A3358D" w:rsidRDefault="00A3358D" w:rsidP="00A3358D">
      <w:pPr>
        <w:spacing w:after="0" w:line="240" w:lineRule="auto"/>
        <w:jc w:val="both"/>
        <w:rPr>
          <w:rFonts w:ascii="Verdana" w:hAnsi="Verdana" w:cs="Arial"/>
          <w:b/>
          <w:sz w:val="20"/>
          <w:szCs w:val="20"/>
        </w:rPr>
      </w:pPr>
    </w:p>
    <w:p w14:paraId="32E330C4" w14:textId="6E04CFD9" w:rsidR="002B3025" w:rsidRPr="00F32832" w:rsidRDefault="002B3025" w:rsidP="00551D66">
      <w:pPr>
        <w:pStyle w:val="Prrafodelista"/>
        <w:numPr>
          <w:ilvl w:val="0"/>
          <w:numId w:val="40"/>
        </w:numPr>
        <w:ind w:left="567" w:hanging="283"/>
        <w:jc w:val="both"/>
        <w:rPr>
          <w:rFonts w:ascii="Verdana" w:hAnsi="Verdana" w:cs="Arial"/>
          <w:b/>
          <w:bCs/>
          <w:sz w:val="20"/>
          <w:szCs w:val="20"/>
        </w:rPr>
      </w:pPr>
      <w:r w:rsidRPr="12B437D6">
        <w:rPr>
          <w:rFonts w:ascii="Verdana" w:hAnsi="Verdana" w:cs="Arial"/>
          <w:b/>
          <w:bCs/>
          <w:sz w:val="20"/>
          <w:szCs w:val="20"/>
        </w:rPr>
        <w:t>Metodología estándar de medición aplicable a los EC y las IOEs</w:t>
      </w:r>
    </w:p>
    <w:p w14:paraId="315FEFDA" w14:textId="3E6A914F" w:rsidR="00F32832" w:rsidRPr="001C6CAB" w:rsidRDefault="00F32832" w:rsidP="00F32832">
      <w:pPr>
        <w:spacing w:after="0"/>
        <w:rPr>
          <w:rFonts w:ascii="Verdana" w:hAnsi="Verdana"/>
          <w:sz w:val="20"/>
          <w:szCs w:val="20"/>
        </w:rPr>
      </w:pPr>
      <w:r w:rsidRPr="001C6CAB">
        <w:rPr>
          <w:rFonts w:ascii="Verdana" w:hAnsi="Verdana"/>
          <w:sz w:val="20"/>
          <w:szCs w:val="20"/>
        </w:rPr>
        <w:t>1.1.3.</w:t>
      </w:r>
      <w:r w:rsidR="00A3358D">
        <w:rPr>
          <w:rFonts w:ascii="Verdana" w:hAnsi="Verdana"/>
          <w:sz w:val="20"/>
          <w:szCs w:val="20"/>
        </w:rPr>
        <w:t>85</w:t>
      </w:r>
      <w:r w:rsidRPr="001C6CAB">
        <w:rPr>
          <w:rFonts w:ascii="Verdana" w:hAnsi="Verdana"/>
          <w:sz w:val="20"/>
          <w:szCs w:val="20"/>
        </w:rPr>
        <w:t>.</w:t>
      </w:r>
    </w:p>
    <w:p w14:paraId="3A479837" w14:textId="3FF87C56" w:rsidR="002B3025" w:rsidRPr="002B3025" w:rsidRDefault="001B2092" w:rsidP="61A804E2">
      <w:pPr>
        <w:pStyle w:val="Normal9pt"/>
        <w:rPr>
          <w:rFonts w:ascii="Verdana" w:hAnsi="Verdana"/>
          <w:sz w:val="20"/>
          <w:szCs w:val="20"/>
          <w:lang w:val="es-ES"/>
        </w:rPr>
      </w:pPr>
      <w:r>
        <w:rPr>
          <w:rFonts w:ascii="Verdana" w:hAnsi="Verdana"/>
          <w:sz w:val="20"/>
          <w:szCs w:val="20"/>
          <w:lang w:val="es-ES"/>
        </w:rPr>
        <w:t>Estas entidades d</w:t>
      </w:r>
      <w:r w:rsidR="002B3025" w:rsidRPr="61A804E2">
        <w:rPr>
          <w:rFonts w:ascii="Verdana" w:hAnsi="Verdana"/>
          <w:sz w:val="20"/>
          <w:szCs w:val="20"/>
          <w:lang w:val="es-ES"/>
        </w:rPr>
        <w:t xml:space="preserve">eben implementar </w:t>
      </w:r>
      <w:r>
        <w:rPr>
          <w:rFonts w:ascii="Verdana" w:hAnsi="Verdana"/>
          <w:sz w:val="20"/>
          <w:szCs w:val="20"/>
          <w:lang w:val="es-ES"/>
        </w:rPr>
        <w:t>las instrucciones d</w:t>
      </w:r>
      <w:r w:rsidR="002B3025" w:rsidRPr="61A804E2">
        <w:rPr>
          <w:rFonts w:ascii="Verdana" w:hAnsi="Verdana"/>
          <w:sz w:val="20"/>
          <w:szCs w:val="20"/>
          <w:lang w:val="es-ES"/>
        </w:rPr>
        <w:t xml:space="preserve">el modelo estándar para realizar la medición del riesgo de mercado de acuerdo con las instrucciones establecidas en el </w:t>
      </w:r>
      <w:r w:rsidR="0082627E" w:rsidRPr="61A804E2">
        <w:rPr>
          <w:rFonts w:ascii="Verdana" w:hAnsi="Verdana"/>
          <w:sz w:val="20"/>
          <w:szCs w:val="20"/>
          <w:lang w:val="es-ES"/>
        </w:rPr>
        <w:t>a</w:t>
      </w:r>
      <w:r w:rsidR="002B3025" w:rsidRPr="61A804E2">
        <w:rPr>
          <w:rFonts w:ascii="Verdana" w:hAnsi="Verdana"/>
          <w:sz w:val="20"/>
          <w:szCs w:val="20"/>
          <w:lang w:val="es-ES"/>
        </w:rPr>
        <w:t xml:space="preserve">nexo 6 del </w:t>
      </w:r>
      <w:r w:rsidR="0082627E" w:rsidRPr="61A804E2">
        <w:rPr>
          <w:rFonts w:ascii="Verdana" w:hAnsi="Verdana"/>
          <w:sz w:val="20"/>
          <w:szCs w:val="20"/>
          <w:lang w:val="es-ES"/>
        </w:rPr>
        <w:t>presente capítulo.</w:t>
      </w:r>
    </w:p>
    <w:p w14:paraId="37CDAD86" w14:textId="77777777" w:rsidR="00C060FB" w:rsidRDefault="00C060FB" w:rsidP="00F32832">
      <w:pPr>
        <w:spacing w:after="0" w:line="240" w:lineRule="auto"/>
        <w:jc w:val="both"/>
        <w:outlineLvl w:val="0"/>
        <w:rPr>
          <w:rFonts w:ascii="Verdana" w:hAnsi="Verdana" w:cs="Arial"/>
          <w:bCs/>
          <w:sz w:val="20"/>
          <w:szCs w:val="20"/>
          <w:lang w:val="es-ES_tradnl"/>
        </w:rPr>
      </w:pPr>
    </w:p>
    <w:p w14:paraId="1D3BF345" w14:textId="69725BBE" w:rsidR="00C060FB" w:rsidRPr="001C6CAB" w:rsidRDefault="00C060FB" w:rsidP="00C060FB">
      <w:pPr>
        <w:spacing w:after="0"/>
        <w:rPr>
          <w:rFonts w:ascii="Verdana" w:hAnsi="Verdana"/>
          <w:sz w:val="20"/>
          <w:szCs w:val="20"/>
        </w:rPr>
      </w:pPr>
      <w:r w:rsidRPr="001C6CAB">
        <w:rPr>
          <w:rFonts w:ascii="Verdana" w:hAnsi="Verdana"/>
          <w:sz w:val="20"/>
          <w:szCs w:val="20"/>
        </w:rPr>
        <w:t>1.1.3.</w:t>
      </w:r>
      <w:r w:rsidR="00A3358D">
        <w:rPr>
          <w:rFonts w:ascii="Verdana" w:hAnsi="Verdana"/>
          <w:sz w:val="20"/>
          <w:szCs w:val="20"/>
        </w:rPr>
        <w:t>86</w:t>
      </w:r>
      <w:r w:rsidRPr="001C6CAB">
        <w:rPr>
          <w:rFonts w:ascii="Verdana" w:hAnsi="Verdana"/>
          <w:sz w:val="20"/>
          <w:szCs w:val="20"/>
        </w:rPr>
        <w:t>.</w:t>
      </w:r>
    </w:p>
    <w:p w14:paraId="09608C16" w14:textId="203E7CDA" w:rsidR="002B3025" w:rsidRPr="00A3358D" w:rsidRDefault="002B3025" w:rsidP="00A3358D">
      <w:pPr>
        <w:spacing w:after="0" w:line="240" w:lineRule="auto"/>
        <w:jc w:val="both"/>
        <w:outlineLvl w:val="0"/>
        <w:rPr>
          <w:rFonts w:ascii="Verdana" w:hAnsi="Verdana" w:cs="Arial"/>
          <w:bCs/>
          <w:sz w:val="20"/>
          <w:szCs w:val="20"/>
          <w:lang w:val="es-ES_tradnl"/>
        </w:rPr>
      </w:pPr>
      <w:r w:rsidRPr="00F32832">
        <w:rPr>
          <w:rFonts w:ascii="Verdana" w:hAnsi="Verdana" w:cs="Arial"/>
          <w:bCs/>
          <w:sz w:val="20"/>
          <w:szCs w:val="20"/>
          <w:lang w:val="es-ES_tradnl"/>
        </w:rPr>
        <w:t xml:space="preserve">Deben reportar los resultados de la medición del riesgo de mercado en los </w:t>
      </w:r>
      <w:r w:rsidRPr="0085451E">
        <w:rPr>
          <w:rFonts w:ascii="Verdana" w:hAnsi="Verdana" w:cs="Arial"/>
          <w:bCs/>
          <w:sz w:val="20"/>
          <w:szCs w:val="20"/>
          <w:lang w:val="es-ES_tradnl"/>
        </w:rPr>
        <w:t xml:space="preserve">formatos establecidos en el </w:t>
      </w:r>
      <w:r w:rsidR="0085451E" w:rsidRPr="0085451E">
        <w:rPr>
          <w:rFonts w:ascii="Verdana" w:hAnsi="Verdana" w:cs="Arial"/>
          <w:bCs/>
          <w:sz w:val="20"/>
          <w:szCs w:val="20"/>
          <w:lang w:val="es-ES_tradnl"/>
        </w:rPr>
        <w:t>a</w:t>
      </w:r>
      <w:r w:rsidRPr="0085451E">
        <w:rPr>
          <w:rFonts w:ascii="Verdana" w:hAnsi="Verdana" w:cs="Arial"/>
          <w:bCs/>
          <w:sz w:val="20"/>
          <w:szCs w:val="20"/>
          <w:lang w:val="es-ES_tradnl"/>
        </w:rPr>
        <w:t>nexo 6</w:t>
      </w:r>
      <w:r w:rsidRPr="0085451E">
        <w:rPr>
          <w:rFonts w:ascii="Verdana" w:hAnsi="Verdana" w:cs="Arial"/>
          <w:bCs/>
          <w:sz w:val="20"/>
          <w:szCs w:val="20"/>
        </w:rPr>
        <w:t xml:space="preserve"> </w:t>
      </w:r>
      <w:r w:rsidRPr="0085451E">
        <w:rPr>
          <w:rFonts w:ascii="Verdana" w:hAnsi="Verdana" w:cs="Arial"/>
          <w:bCs/>
          <w:sz w:val="20"/>
          <w:szCs w:val="20"/>
          <w:lang w:val="es-ES_tradnl"/>
        </w:rPr>
        <w:t xml:space="preserve">del </w:t>
      </w:r>
      <w:r w:rsidR="0085451E" w:rsidRPr="0085451E">
        <w:rPr>
          <w:rFonts w:ascii="Verdana" w:hAnsi="Verdana" w:cs="Arial"/>
          <w:bCs/>
          <w:sz w:val="20"/>
          <w:szCs w:val="20"/>
          <w:lang w:val="es-ES_tradnl"/>
        </w:rPr>
        <w:t>presente</w:t>
      </w:r>
      <w:r w:rsidR="0085451E">
        <w:rPr>
          <w:rFonts w:ascii="Verdana" w:hAnsi="Verdana" w:cs="Arial"/>
          <w:bCs/>
          <w:sz w:val="20"/>
          <w:szCs w:val="20"/>
          <w:lang w:val="es-ES_tradnl"/>
        </w:rPr>
        <w:t xml:space="preserve"> capítulo.</w:t>
      </w:r>
    </w:p>
    <w:p w14:paraId="289D8A05" w14:textId="77777777" w:rsidR="00A3358D" w:rsidRDefault="00A3358D" w:rsidP="00C060FB">
      <w:pPr>
        <w:spacing w:after="0"/>
        <w:rPr>
          <w:rFonts w:ascii="Verdana" w:hAnsi="Verdana"/>
          <w:sz w:val="20"/>
          <w:szCs w:val="20"/>
        </w:rPr>
      </w:pPr>
    </w:p>
    <w:p w14:paraId="774E9AC9" w14:textId="6F08331B" w:rsidR="00C060FB" w:rsidRPr="001C6CAB" w:rsidRDefault="00C060FB" w:rsidP="00C060FB">
      <w:pPr>
        <w:spacing w:after="0"/>
        <w:rPr>
          <w:rFonts w:ascii="Verdana" w:hAnsi="Verdana"/>
          <w:sz w:val="20"/>
          <w:szCs w:val="20"/>
        </w:rPr>
      </w:pPr>
      <w:r w:rsidRPr="001C6CAB">
        <w:rPr>
          <w:rFonts w:ascii="Verdana" w:hAnsi="Verdana"/>
          <w:sz w:val="20"/>
          <w:szCs w:val="20"/>
        </w:rPr>
        <w:t>1.1.3.</w:t>
      </w:r>
      <w:r w:rsidR="00A3358D">
        <w:rPr>
          <w:rFonts w:ascii="Verdana" w:hAnsi="Verdana"/>
          <w:sz w:val="20"/>
          <w:szCs w:val="20"/>
        </w:rPr>
        <w:t>87</w:t>
      </w:r>
      <w:r w:rsidRPr="001C6CAB">
        <w:rPr>
          <w:rFonts w:ascii="Verdana" w:hAnsi="Verdana"/>
          <w:sz w:val="20"/>
          <w:szCs w:val="20"/>
        </w:rPr>
        <w:t>.</w:t>
      </w:r>
    </w:p>
    <w:p w14:paraId="52252224" w14:textId="7B3B5D6C" w:rsidR="006C116E" w:rsidRPr="002B3025" w:rsidRDefault="002B3025" w:rsidP="00B929BB">
      <w:pPr>
        <w:tabs>
          <w:tab w:val="left" w:pos="284"/>
        </w:tabs>
        <w:jc w:val="both"/>
        <w:rPr>
          <w:rFonts w:ascii="Verdana" w:hAnsi="Verdana" w:cs="Arial"/>
          <w:bCs/>
          <w:sz w:val="20"/>
          <w:szCs w:val="20"/>
        </w:rPr>
      </w:pPr>
      <w:r w:rsidRPr="002B3025">
        <w:rPr>
          <w:rFonts w:ascii="Verdana" w:hAnsi="Verdana" w:cs="Arial"/>
          <w:bCs/>
          <w:sz w:val="20"/>
          <w:szCs w:val="20"/>
        </w:rPr>
        <w:t>En el caso de las corporaciones financieras, los valores participativos clasificados como inversiones disponibles para la venta que estas entidades definan como parte del plan de negocio y tengan vocación de permanencia, están exceptuados de la medición de</w:t>
      </w:r>
      <w:r w:rsidR="00B96373">
        <w:rPr>
          <w:rFonts w:ascii="Verdana" w:hAnsi="Verdana" w:cs="Arial"/>
          <w:bCs/>
          <w:sz w:val="20"/>
          <w:szCs w:val="20"/>
        </w:rPr>
        <w:t>l</w:t>
      </w:r>
      <w:r w:rsidRPr="002B3025">
        <w:rPr>
          <w:rFonts w:ascii="Verdana" w:hAnsi="Verdana" w:cs="Arial"/>
          <w:bCs/>
          <w:sz w:val="20"/>
          <w:szCs w:val="20"/>
        </w:rPr>
        <w:t xml:space="preserve"> riesgo de mercado. Dicha clasificación, requiere la aprobación previa de la JD, debidamente sustentada. Esta decisión debe ser informada a la SFC dentro de los 10 días comunes siguientes a su aprobación.</w:t>
      </w:r>
    </w:p>
    <w:p w14:paraId="3201D706" w14:textId="40E6E512" w:rsidR="00C060FB" w:rsidRPr="001C6CAB" w:rsidRDefault="00C060FB" w:rsidP="00C060FB">
      <w:pPr>
        <w:spacing w:after="0"/>
        <w:rPr>
          <w:rFonts w:ascii="Verdana" w:hAnsi="Verdana"/>
          <w:sz w:val="20"/>
          <w:szCs w:val="20"/>
        </w:rPr>
      </w:pPr>
      <w:r w:rsidRPr="001C6CAB">
        <w:rPr>
          <w:rFonts w:ascii="Verdana" w:hAnsi="Verdana"/>
          <w:sz w:val="20"/>
          <w:szCs w:val="20"/>
        </w:rPr>
        <w:t>1.1.3.</w:t>
      </w:r>
      <w:r w:rsidR="00A3358D">
        <w:rPr>
          <w:rFonts w:ascii="Verdana" w:hAnsi="Verdana"/>
          <w:sz w:val="20"/>
          <w:szCs w:val="20"/>
        </w:rPr>
        <w:t>88</w:t>
      </w:r>
      <w:r w:rsidRPr="001C6CAB">
        <w:rPr>
          <w:rFonts w:ascii="Verdana" w:hAnsi="Verdana"/>
          <w:sz w:val="20"/>
          <w:szCs w:val="20"/>
        </w:rPr>
        <w:t>.</w:t>
      </w:r>
    </w:p>
    <w:p w14:paraId="20991ED5" w14:textId="14C69EAA" w:rsidR="00893811" w:rsidRDefault="002B3025" w:rsidP="00A3358D">
      <w:pPr>
        <w:tabs>
          <w:tab w:val="left" w:pos="284"/>
        </w:tabs>
        <w:jc w:val="both"/>
        <w:rPr>
          <w:rFonts w:ascii="Verdana" w:hAnsi="Verdana" w:cs="Arial"/>
          <w:bCs/>
          <w:sz w:val="20"/>
          <w:szCs w:val="20"/>
        </w:rPr>
      </w:pPr>
      <w:r w:rsidRPr="002B3025">
        <w:rPr>
          <w:rFonts w:ascii="Verdana" w:hAnsi="Verdana" w:cs="Arial"/>
          <w:bCs/>
          <w:sz w:val="20"/>
          <w:szCs w:val="20"/>
        </w:rPr>
        <w:t xml:space="preserve">Adicionalmente, cuando su JD decida que una inversión en valores participativos ya no debe considerarse como estratégica y con vocación de permanencia, dicha decisión no implica que deba dejar de clasificarse como una inversión disponible para la venta. Por lo tanto, en el evento que estas entidades decidan reclasificar los valores </w:t>
      </w:r>
      <w:r w:rsidRPr="002B3025">
        <w:rPr>
          <w:rFonts w:ascii="Verdana" w:hAnsi="Verdana" w:cs="Arial"/>
          <w:bCs/>
          <w:sz w:val="20"/>
          <w:szCs w:val="20"/>
        </w:rPr>
        <w:lastRenderedPageBreak/>
        <w:t xml:space="preserve">correspondientes en otra categoría </w:t>
      </w:r>
      <w:r w:rsidRPr="006B544F">
        <w:rPr>
          <w:rFonts w:ascii="Verdana" w:hAnsi="Verdana" w:cs="Arial"/>
          <w:bCs/>
          <w:sz w:val="20"/>
          <w:szCs w:val="20"/>
        </w:rPr>
        <w:t xml:space="preserve">deben observar los criterios y requisitos previstos en </w:t>
      </w:r>
      <w:r w:rsidR="006B544F" w:rsidRPr="006B544F">
        <w:rPr>
          <w:rFonts w:ascii="Verdana" w:hAnsi="Verdana" w:cs="Arial"/>
          <w:bCs/>
          <w:sz w:val="20"/>
          <w:szCs w:val="20"/>
        </w:rPr>
        <w:t xml:space="preserve">los párrafos 3.4.1.27. y 3.4.1.28. de la </w:t>
      </w:r>
      <w:r w:rsidR="006317A5">
        <w:rPr>
          <w:rFonts w:ascii="Verdana" w:hAnsi="Verdana" w:cs="Arial"/>
          <w:bCs/>
          <w:sz w:val="20"/>
          <w:szCs w:val="20"/>
        </w:rPr>
        <w:t>CBF</w:t>
      </w:r>
      <w:r w:rsidR="006B544F">
        <w:rPr>
          <w:rFonts w:ascii="Verdana" w:hAnsi="Verdana" w:cs="Arial"/>
          <w:bCs/>
          <w:sz w:val="20"/>
          <w:szCs w:val="20"/>
        </w:rPr>
        <w:t xml:space="preserve">. </w:t>
      </w:r>
    </w:p>
    <w:p w14:paraId="623145C8" w14:textId="4EFB7A8C" w:rsidR="002B3025" w:rsidRPr="00893811" w:rsidRDefault="002B3025" w:rsidP="00551D66">
      <w:pPr>
        <w:pStyle w:val="Prrafodelista"/>
        <w:numPr>
          <w:ilvl w:val="0"/>
          <w:numId w:val="40"/>
        </w:numPr>
        <w:ind w:left="567" w:hanging="283"/>
        <w:jc w:val="both"/>
        <w:rPr>
          <w:rFonts w:ascii="Verdana" w:hAnsi="Verdana" w:cs="Arial"/>
          <w:b/>
          <w:sz w:val="20"/>
          <w:szCs w:val="20"/>
        </w:rPr>
      </w:pPr>
      <w:r w:rsidRPr="00893811">
        <w:rPr>
          <w:rFonts w:ascii="Verdana" w:hAnsi="Verdana" w:cs="Arial"/>
          <w:b/>
          <w:sz w:val="20"/>
          <w:szCs w:val="20"/>
        </w:rPr>
        <w:t>Metodología estándar de medición aplicable a las SCBV respecto de sus operaciones en cuenta propia</w:t>
      </w:r>
    </w:p>
    <w:p w14:paraId="5122D95C" w14:textId="6AAF4B9A" w:rsidR="00893811" w:rsidRPr="001C6CAB" w:rsidRDefault="00893811" w:rsidP="00893811">
      <w:pPr>
        <w:spacing w:after="0"/>
        <w:rPr>
          <w:rFonts w:ascii="Verdana" w:hAnsi="Verdana"/>
          <w:sz w:val="20"/>
          <w:szCs w:val="20"/>
        </w:rPr>
      </w:pPr>
      <w:r w:rsidRPr="001C6CAB">
        <w:rPr>
          <w:rFonts w:ascii="Verdana" w:hAnsi="Verdana"/>
          <w:sz w:val="20"/>
          <w:szCs w:val="20"/>
        </w:rPr>
        <w:t>1.1.3.</w:t>
      </w:r>
      <w:r w:rsidR="009E039F">
        <w:rPr>
          <w:rFonts w:ascii="Verdana" w:hAnsi="Verdana"/>
          <w:sz w:val="20"/>
          <w:szCs w:val="20"/>
        </w:rPr>
        <w:t>89</w:t>
      </w:r>
      <w:r w:rsidRPr="001C6CAB">
        <w:rPr>
          <w:rFonts w:ascii="Verdana" w:hAnsi="Verdana"/>
          <w:sz w:val="20"/>
          <w:szCs w:val="20"/>
        </w:rPr>
        <w:t>.</w:t>
      </w:r>
    </w:p>
    <w:p w14:paraId="4D347A5D" w14:textId="376592DC" w:rsidR="002B3025" w:rsidRPr="002B3025" w:rsidRDefault="008B40DC" w:rsidP="61A804E2">
      <w:pPr>
        <w:pStyle w:val="Normal9pt"/>
        <w:rPr>
          <w:rFonts w:ascii="Verdana" w:hAnsi="Verdana"/>
          <w:sz w:val="20"/>
          <w:szCs w:val="20"/>
          <w:lang w:val="es-ES"/>
        </w:rPr>
      </w:pPr>
      <w:r>
        <w:rPr>
          <w:rFonts w:ascii="Verdana" w:hAnsi="Verdana"/>
          <w:sz w:val="20"/>
          <w:szCs w:val="20"/>
          <w:lang w:val="es-ES"/>
        </w:rPr>
        <w:t>Las SCBV d</w:t>
      </w:r>
      <w:r w:rsidR="002B3025" w:rsidRPr="61A804E2">
        <w:rPr>
          <w:rFonts w:ascii="Verdana" w:hAnsi="Verdana"/>
          <w:sz w:val="20"/>
          <w:szCs w:val="20"/>
          <w:lang w:val="es-ES"/>
        </w:rPr>
        <w:t>eben implementar el modelo estándar para realizar la medición del riesgo de mercado de acuerdo con las instrucciones establecidas en el</w:t>
      </w:r>
      <w:r w:rsidR="00446007" w:rsidRPr="61A804E2">
        <w:rPr>
          <w:rFonts w:ascii="Verdana" w:hAnsi="Verdana"/>
          <w:sz w:val="20"/>
          <w:szCs w:val="20"/>
          <w:lang w:val="es-ES"/>
        </w:rPr>
        <w:t xml:space="preserve"> a</w:t>
      </w:r>
      <w:r w:rsidR="002B3025" w:rsidRPr="61A804E2">
        <w:rPr>
          <w:rFonts w:ascii="Verdana" w:hAnsi="Verdana"/>
          <w:sz w:val="20"/>
          <w:szCs w:val="20"/>
          <w:lang w:val="es-ES"/>
        </w:rPr>
        <w:t xml:space="preserve">nexo 6 del </w:t>
      </w:r>
      <w:r w:rsidR="00446007" w:rsidRPr="61A804E2">
        <w:rPr>
          <w:rFonts w:ascii="Verdana" w:hAnsi="Verdana"/>
          <w:sz w:val="20"/>
          <w:szCs w:val="20"/>
          <w:lang w:val="es-ES"/>
        </w:rPr>
        <w:t xml:space="preserve">presente capítulo. </w:t>
      </w:r>
    </w:p>
    <w:p w14:paraId="7147128E" w14:textId="77777777" w:rsidR="002B3025" w:rsidRPr="002B3025" w:rsidRDefault="002B3025" w:rsidP="00893811">
      <w:pPr>
        <w:pStyle w:val="Normal9pt"/>
        <w:ind w:left="284"/>
        <w:rPr>
          <w:rFonts w:ascii="Verdana" w:hAnsi="Verdana"/>
          <w:bCs/>
          <w:sz w:val="20"/>
          <w:szCs w:val="20"/>
          <w:lang w:val="es-ES_tradnl"/>
        </w:rPr>
      </w:pPr>
    </w:p>
    <w:p w14:paraId="0F67DC96" w14:textId="75578846" w:rsidR="00893811" w:rsidRPr="001C6CAB" w:rsidRDefault="00893811" w:rsidP="00893811">
      <w:pPr>
        <w:spacing w:after="0"/>
        <w:rPr>
          <w:rFonts w:ascii="Verdana" w:hAnsi="Verdana"/>
          <w:sz w:val="20"/>
          <w:szCs w:val="20"/>
        </w:rPr>
      </w:pPr>
      <w:r w:rsidRPr="001C6CAB">
        <w:rPr>
          <w:rFonts w:ascii="Verdana" w:hAnsi="Verdana"/>
          <w:sz w:val="20"/>
          <w:szCs w:val="20"/>
        </w:rPr>
        <w:t>1.1.3.</w:t>
      </w:r>
      <w:r>
        <w:rPr>
          <w:rFonts w:ascii="Verdana" w:hAnsi="Verdana"/>
          <w:sz w:val="20"/>
          <w:szCs w:val="20"/>
        </w:rPr>
        <w:t>9</w:t>
      </w:r>
      <w:r w:rsidR="009E039F">
        <w:rPr>
          <w:rFonts w:ascii="Verdana" w:hAnsi="Verdana"/>
          <w:sz w:val="20"/>
          <w:szCs w:val="20"/>
        </w:rPr>
        <w:t>0</w:t>
      </w:r>
      <w:r w:rsidRPr="001C6CAB">
        <w:rPr>
          <w:rFonts w:ascii="Verdana" w:hAnsi="Verdana"/>
          <w:sz w:val="20"/>
          <w:szCs w:val="20"/>
        </w:rPr>
        <w:t>.</w:t>
      </w:r>
    </w:p>
    <w:p w14:paraId="632650CD" w14:textId="62ADB3D4" w:rsidR="002B3025" w:rsidRDefault="002B3025" w:rsidP="00F72386">
      <w:pPr>
        <w:spacing w:after="0" w:line="240" w:lineRule="auto"/>
        <w:jc w:val="both"/>
        <w:outlineLvl w:val="0"/>
        <w:rPr>
          <w:rFonts w:ascii="Verdana" w:hAnsi="Verdana" w:cs="Arial"/>
          <w:bCs/>
          <w:sz w:val="20"/>
          <w:szCs w:val="20"/>
          <w:lang w:val="es-ES_tradnl"/>
        </w:rPr>
      </w:pPr>
      <w:r w:rsidRPr="00893811">
        <w:rPr>
          <w:rFonts w:ascii="Verdana" w:hAnsi="Verdana" w:cs="Arial"/>
          <w:bCs/>
          <w:sz w:val="20"/>
          <w:szCs w:val="20"/>
          <w:lang w:val="es-ES_tradnl"/>
        </w:rPr>
        <w:t xml:space="preserve">Deben reportar los resultados de la medición del riesgo de mercado en los formatos establecidos en el </w:t>
      </w:r>
      <w:r w:rsidR="00446007" w:rsidRPr="00446007">
        <w:rPr>
          <w:rFonts w:ascii="Verdana" w:hAnsi="Verdana"/>
          <w:bCs/>
          <w:sz w:val="20"/>
          <w:szCs w:val="20"/>
          <w:lang w:val="es-ES_tradnl"/>
        </w:rPr>
        <w:t>anexo 6 del presente capítulo.</w:t>
      </w:r>
    </w:p>
    <w:p w14:paraId="072A4D87" w14:textId="77777777" w:rsidR="00F72386" w:rsidRPr="002B3025" w:rsidRDefault="00F72386" w:rsidP="00F72386">
      <w:pPr>
        <w:spacing w:after="0" w:line="240" w:lineRule="auto"/>
        <w:jc w:val="both"/>
        <w:outlineLvl w:val="0"/>
        <w:rPr>
          <w:rFonts w:ascii="Verdana" w:hAnsi="Verdana" w:cs="Arial"/>
          <w:bCs/>
          <w:sz w:val="20"/>
          <w:szCs w:val="20"/>
          <w:lang w:val="es-ES_tradnl"/>
        </w:rPr>
      </w:pPr>
    </w:p>
    <w:p w14:paraId="4FF6BD0F" w14:textId="5522733F" w:rsidR="002B3025" w:rsidRPr="00854AC9" w:rsidRDefault="002B3025" w:rsidP="00551D66">
      <w:pPr>
        <w:pStyle w:val="Prrafodelista"/>
        <w:numPr>
          <w:ilvl w:val="0"/>
          <w:numId w:val="40"/>
        </w:numPr>
        <w:ind w:left="567" w:hanging="283"/>
        <w:jc w:val="both"/>
        <w:rPr>
          <w:rFonts w:ascii="Verdana" w:hAnsi="Verdana" w:cs="Arial"/>
          <w:b/>
          <w:sz w:val="20"/>
          <w:szCs w:val="20"/>
        </w:rPr>
      </w:pPr>
      <w:r w:rsidRPr="00854AC9">
        <w:rPr>
          <w:rFonts w:ascii="Verdana" w:hAnsi="Verdana" w:cs="Arial"/>
          <w:b/>
          <w:sz w:val="20"/>
          <w:szCs w:val="20"/>
        </w:rPr>
        <w:t>Metodología estándar de medición aplicable a las entidades de seguros generales respecto de las inversiones que respaldan sus reservas técnicas</w:t>
      </w:r>
    </w:p>
    <w:p w14:paraId="2B998908" w14:textId="294BDEF1" w:rsidR="00721F4D" w:rsidRPr="001C6CAB" w:rsidRDefault="00721F4D" w:rsidP="00721F4D">
      <w:pPr>
        <w:spacing w:after="0"/>
        <w:rPr>
          <w:rFonts w:ascii="Verdana" w:hAnsi="Verdana"/>
          <w:sz w:val="20"/>
          <w:szCs w:val="20"/>
        </w:rPr>
      </w:pPr>
      <w:r w:rsidRPr="001C6CAB">
        <w:rPr>
          <w:rFonts w:ascii="Verdana" w:hAnsi="Verdana"/>
          <w:sz w:val="20"/>
          <w:szCs w:val="20"/>
        </w:rPr>
        <w:t>1.1.3.</w:t>
      </w:r>
      <w:r>
        <w:rPr>
          <w:rFonts w:ascii="Verdana" w:hAnsi="Verdana"/>
          <w:sz w:val="20"/>
          <w:szCs w:val="20"/>
        </w:rPr>
        <w:t>9</w:t>
      </w:r>
      <w:r w:rsidR="009E039F">
        <w:rPr>
          <w:rFonts w:ascii="Verdana" w:hAnsi="Verdana"/>
          <w:sz w:val="20"/>
          <w:szCs w:val="20"/>
        </w:rPr>
        <w:t>1</w:t>
      </w:r>
      <w:r w:rsidRPr="001C6CAB">
        <w:rPr>
          <w:rFonts w:ascii="Verdana" w:hAnsi="Verdana"/>
          <w:sz w:val="20"/>
          <w:szCs w:val="20"/>
        </w:rPr>
        <w:t>.</w:t>
      </w:r>
    </w:p>
    <w:p w14:paraId="2630B8A8" w14:textId="343A8BD3" w:rsidR="002B3025" w:rsidRPr="002B3025" w:rsidRDefault="00297D53" w:rsidP="61A804E2">
      <w:pPr>
        <w:pStyle w:val="Normal9pt"/>
        <w:rPr>
          <w:rFonts w:ascii="Verdana" w:hAnsi="Verdana"/>
          <w:sz w:val="20"/>
          <w:szCs w:val="20"/>
          <w:lang w:val="es-ES"/>
        </w:rPr>
      </w:pPr>
      <w:r>
        <w:rPr>
          <w:rFonts w:ascii="Verdana" w:hAnsi="Verdana"/>
          <w:sz w:val="20"/>
          <w:szCs w:val="20"/>
          <w:lang w:val="es-ES"/>
        </w:rPr>
        <w:t>Estas entidades vigiladas d</w:t>
      </w:r>
      <w:r w:rsidR="002B3025" w:rsidRPr="61A804E2">
        <w:rPr>
          <w:rFonts w:ascii="Verdana" w:hAnsi="Verdana"/>
          <w:sz w:val="20"/>
          <w:szCs w:val="20"/>
          <w:lang w:val="es-ES"/>
        </w:rPr>
        <w:t xml:space="preserve">eben implementar el modelo estándar para realizar la medición del riesgo de mercado de acuerdo con las instrucciones establecidas en el </w:t>
      </w:r>
      <w:r w:rsidR="00A612B3" w:rsidRPr="61A804E2">
        <w:rPr>
          <w:rFonts w:ascii="Verdana" w:hAnsi="Verdana"/>
          <w:sz w:val="20"/>
          <w:szCs w:val="20"/>
          <w:lang w:val="es-ES"/>
        </w:rPr>
        <w:t>a</w:t>
      </w:r>
      <w:r w:rsidR="002B3025" w:rsidRPr="61A804E2">
        <w:rPr>
          <w:rFonts w:ascii="Verdana" w:hAnsi="Verdana"/>
          <w:sz w:val="20"/>
          <w:szCs w:val="20"/>
          <w:lang w:val="es-ES"/>
        </w:rPr>
        <w:t xml:space="preserve">nexo 8 </w:t>
      </w:r>
      <w:r w:rsidR="00A612B3" w:rsidRPr="61A804E2">
        <w:rPr>
          <w:rFonts w:ascii="Verdana" w:hAnsi="Verdana"/>
          <w:sz w:val="20"/>
          <w:szCs w:val="20"/>
          <w:lang w:val="es-ES"/>
        </w:rPr>
        <w:t>del presente capítulo.</w:t>
      </w:r>
    </w:p>
    <w:p w14:paraId="3628BF8D" w14:textId="77777777" w:rsidR="002B3025" w:rsidRPr="002B3025" w:rsidRDefault="002B3025" w:rsidP="00721F4D">
      <w:pPr>
        <w:pStyle w:val="Normal9pt"/>
        <w:rPr>
          <w:rFonts w:ascii="Verdana" w:hAnsi="Verdana"/>
          <w:bCs/>
          <w:sz w:val="20"/>
          <w:szCs w:val="20"/>
          <w:lang w:val="es-ES_tradnl"/>
        </w:rPr>
      </w:pPr>
    </w:p>
    <w:p w14:paraId="188D98F8" w14:textId="4EC81C60" w:rsidR="00721F4D" w:rsidRPr="001C6CAB" w:rsidRDefault="00721F4D" w:rsidP="00721F4D">
      <w:pPr>
        <w:spacing w:after="0"/>
        <w:rPr>
          <w:rFonts w:ascii="Verdana" w:hAnsi="Verdana"/>
          <w:sz w:val="20"/>
          <w:szCs w:val="20"/>
        </w:rPr>
      </w:pPr>
      <w:r w:rsidRPr="001C6CAB">
        <w:rPr>
          <w:rFonts w:ascii="Verdana" w:hAnsi="Verdana"/>
          <w:sz w:val="20"/>
          <w:szCs w:val="20"/>
        </w:rPr>
        <w:t>1.1.3.</w:t>
      </w:r>
      <w:r>
        <w:rPr>
          <w:rFonts w:ascii="Verdana" w:hAnsi="Verdana"/>
          <w:sz w:val="20"/>
          <w:szCs w:val="20"/>
        </w:rPr>
        <w:t>9</w:t>
      </w:r>
      <w:r w:rsidR="009E039F">
        <w:rPr>
          <w:rFonts w:ascii="Verdana" w:hAnsi="Verdana"/>
          <w:sz w:val="20"/>
          <w:szCs w:val="20"/>
        </w:rPr>
        <w:t>2</w:t>
      </w:r>
      <w:r w:rsidRPr="001C6CAB">
        <w:rPr>
          <w:rFonts w:ascii="Verdana" w:hAnsi="Verdana"/>
          <w:sz w:val="20"/>
          <w:szCs w:val="20"/>
        </w:rPr>
        <w:t>.</w:t>
      </w:r>
    </w:p>
    <w:p w14:paraId="544958BE" w14:textId="0326637F" w:rsidR="002B3025" w:rsidRPr="002B3025" w:rsidRDefault="002B3025" w:rsidP="00721F4D">
      <w:pPr>
        <w:pStyle w:val="Normal9pt"/>
        <w:rPr>
          <w:rFonts w:ascii="Verdana" w:hAnsi="Verdana"/>
          <w:bCs/>
          <w:sz w:val="20"/>
          <w:szCs w:val="20"/>
          <w:lang w:val="es-ES_tradnl"/>
        </w:rPr>
      </w:pPr>
      <w:r w:rsidRPr="002B3025">
        <w:rPr>
          <w:rFonts w:ascii="Verdana" w:hAnsi="Verdana"/>
          <w:bCs/>
          <w:sz w:val="20"/>
          <w:szCs w:val="20"/>
          <w:lang w:val="es-ES_tradnl"/>
        </w:rPr>
        <w:t xml:space="preserve">Deben reportar los resultados de la medición del riesgo de mercado en los formatos </w:t>
      </w:r>
      <w:r w:rsidR="00A612B3" w:rsidRPr="00A612B3">
        <w:rPr>
          <w:rFonts w:ascii="Verdana" w:hAnsi="Verdana"/>
          <w:bCs/>
          <w:sz w:val="20"/>
          <w:szCs w:val="20"/>
          <w:lang w:val="es-ES_tradnl"/>
        </w:rPr>
        <w:t>establecid</w:t>
      </w:r>
      <w:r w:rsidR="003543C1">
        <w:rPr>
          <w:rFonts w:ascii="Verdana" w:hAnsi="Verdana"/>
          <w:bCs/>
          <w:sz w:val="20"/>
          <w:szCs w:val="20"/>
          <w:lang w:val="es-ES_tradnl"/>
        </w:rPr>
        <w:t>o</w:t>
      </w:r>
      <w:r w:rsidR="00A612B3" w:rsidRPr="00A612B3">
        <w:rPr>
          <w:rFonts w:ascii="Verdana" w:hAnsi="Verdana"/>
          <w:bCs/>
          <w:sz w:val="20"/>
          <w:szCs w:val="20"/>
          <w:lang w:val="es-ES_tradnl"/>
        </w:rPr>
        <w:t xml:space="preserve">s en el anexo 8 </w:t>
      </w:r>
      <w:r w:rsidR="00A612B3" w:rsidRPr="00446007">
        <w:rPr>
          <w:rFonts w:ascii="Verdana" w:hAnsi="Verdana"/>
          <w:bCs/>
          <w:sz w:val="20"/>
          <w:szCs w:val="20"/>
          <w:lang w:val="es-ES_tradnl"/>
        </w:rPr>
        <w:t>del presente capítulo.</w:t>
      </w:r>
    </w:p>
    <w:p w14:paraId="1CDE46AB" w14:textId="77777777" w:rsidR="002B3025" w:rsidRPr="002B3025" w:rsidRDefault="002B3025" w:rsidP="00B929BB">
      <w:pPr>
        <w:pStyle w:val="Normal9pt"/>
        <w:rPr>
          <w:rFonts w:ascii="Verdana" w:hAnsi="Verdana"/>
          <w:bCs/>
          <w:sz w:val="20"/>
          <w:szCs w:val="20"/>
          <w:lang w:val="es-ES_tradnl"/>
        </w:rPr>
      </w:pPr>
    </w:p>
    <w:p w14:paraId="1649D934" w14:textId="3EA2AEAD" w:rsidR="002B3025" w:rsidRPr="00F72386" w:rsidRDefault="002B3025" w:rsidP="00551D66">
      <w:pPr>
        <w:pStyle w:val="Prrafodelista"/>
        <w:numPr>
          <w:ilvl w:val="0"/>
          <w:numId w:val="40"/>
        </w:numPr>
        <w:ind w:left="567" w:hanging="283"/>
        <w:jc w:val="both"/>
        <w:rPr>
          <w:rFonts w:ascii="Verdana" w:hAnsi="Verdana" w:cs="Arial"/>
          <w:b/>
          <w:bCs/>
          <w:sz w:val="20"/>
          <w:szCs w:val="20"/>
        </w:rPr>
      </w:pPr>
      <w:r w:rsidRPr="00F72386">
        <w:rPr>
          <w:rFonts w:ascii="Verdana" w:hAnsi="Verdana" w:cs="Arial"/>
          <w:b/>
          <w:bCs/>
          <w:sz w:val="20"/>
          <w:szCs w:val="20"/>
        </w:rPr>
        <w:t>Metodología estándar de medición aplicable a las SCBV respecto de los FICs y fondos administrados.</w:t>
      </w:r>
    </w:p>
    <w:p w14:paraId="27DC4C92" w14:textId="7AEFE3F3" w:rsidR="00721F4D" w:rsidRPr="001C6CAB" w:rsidRDefault="00721F4D" w:rsidP="00721F4D">
      <w:pPr>
        <w:spacing w:after="0"/>
        <w:rPr>
          <w:rFonts w:ascii="Verdana" w:hAnsi="Verdana"/>
          <w:sz w:val="20"/>
          <w:szCs w:val="20"/>
        </w:rPr>
      </w:pPr>
      <w:r w:rsidRPr="001C6CAB">
        <w:rPr>
          <w:rFonts w:ascii="Verdana" w:hAnsi="Verdana"/>
          <w:sz w:val="20"/>
          <w:szCs w:val="20"/>
        </w:rPr>
        <w:t>1.1.3.</w:t>
      </w:r>
      <w:r>
        <w:rPr>
          <w:rFonts w:ascii="Verdana" w:hAnsi="Verdana"/>
          <w:sz w:val="20"/>
          <w:szCs w:val="20"/>
        </w:rPr>
        <w:t>9</w:t>
      </w:r>
      <w:r w:rsidR="009E039F">
        <w:rPr>
          <w:rFonts w:ascii="Verdana" w:hAnsi="Verdana"/>
          <w:sz w:val="20"/>
          <w:szCs w:val="20"/>
        </w:rPr>
        <w:t>3</w:t>
      </w:r>
      <w:r w:rsidRPr="001C6CAB">
        <w:rPr>
          <w:rFonts w:ascii="Verdana" w:hAnsi="Verdana"/>
          <w:sz w:val="20"/>
          <w:szCs w:val="20"/>
        </w:rPr>
        <w:t>.</w:t>
      </w:r>
    </w:p>
    <w:p w14:paraId="6876CE8F" w14:textId="18570038" w:rsidR="002B3025" w:rsidRPr="002B3025" w:rsidRDefault="00DF46B6" w:rsidP="60169A51">
      <w:pPr>
        <w:pStyle w:val="Normal9pt"/>
        <w:rPr>
          <w:rFonts w:ascii="Verdana" w:hAnsi="Verdana"/>
          <w:sz w:val="20"/>
          <w:szCs w:val="20"/>
          <w:lang w:val="es-ES"/>
        </w:rPr>
      </w:pPr>
      <w:r>
        <w:rPr>
          <w:rFonts w:ascii="Verdana" w:hAnsi="Verdana"/>
          <w:sz w:val="20"/>
          <w:szCs w:val="20"/>
          <w:lang w:val="es-ES"/>
        </w:rPr>
        <w:t>Respecto de los FICs y fondos administrados las SCBV d</w:t>
      </w:r>
      <w:r w:rsidR="002B3025" w:rsidRPr="60169A51">
        <w:rPr>
          <w:rFonts w:ascii="Verdana" w:hAnsi="Verdana"/>
          <w:sz w:val="20"/>
          <w:szCs w:val="20"/>
          <w:lang w:val="es-ES"/>
        </w:rPr>
        <w:t xml:space="preserve">eben implementar el modelo estándar para realizar la medición del riesgo de mercado de los FIC y fondos que administran de acuerdo con las instrucciones establecidas en el </w:t>
      </w:r>
      <w:r w:rsidR="00957074">
        <w:rPr>
          <w:rFonts w:ascii="Verdana" w:hAnsi="Verdana"/>
          <w:sz w:val="20"/>
          <w:szCs w:val="20"/>
          <w:lang w:val="es-ES"/>
        </w:rPr>
        <w:t>a</w:t>
      </w:r>
      <w:r w:rsidR="002B3025" w:rsidRPr="60169A51">
        <w:rPr>
          <w:rFonts w:ascii="Verdana" w:hAnsi="Verdana"/>
          <w:sz w:val="20"/>
          <w:szCs w:val="20"/>
          <w:lang w:val="es-ES"/>
        </w:rPr>
        <w:t xml:space="preserve">nexo 7 del presente </w:t>
      </w:r>
      <w:r w:rsidR="00957074">
        <w:rPr>
          <w:rFonts w:ascii="Verdana" w:hAnsi="Verdana"/>
          <w:sz w:val="20"/>
          <w:szCs w:val="20"/>
          <w:lang w:val="es-ES"/>
        </w:rPr>
        <w:t>c</w:t>
      </w:r>
      <w:r w:rsidR="002B3025" w:rsidRPr="60169A51">
        <w:rPr>
          <w:rFonts w:ascii="Verdana" w:hAnsi="Verdana"/>
          <w:sz w:val="20"/>
          <w:szCs w:val="20"/>
          <w:lang w:val="es-ES"/>
        </w:rPr>
        <w:t>apítulo.</w:t>
      </w:r>
    </w:p>
    <w:p w14:paraId="30DF3B76" w14:textId="77777777" w:rsidR="002B3025" w:rsidRPr="002B3025" w:rsidRDefault="002B3025" w:rsidP="00721F4D">
      <w:pPr>
        <w:pStyle w:val="Normal9pt"/>
        <w:rPr>
          <w:rFonts w:ascii="Verdana" w:hAnsi="Verdana"/>
          <w:bCs/>
          <w:sz w:val="20"/>
          <w:szCs w:val="20"/>
          <w:lang w:val="es-ES_tradnl"/>
        </w:rPr>
      </w:pPr>
    </w:p>
    <w:p w14:paraId="4093F52B" w14:textId="50B07291" w:rsidR="00474B60" w:rsidRPr="001C6CAB" w:rsidRDefault="00474B60" w:rsidP="00474B60">
      <w:pPr>
        <w:spacing w:after="0"/>
        <w:rPr>
          <w:rFonts w:ascii="Verdana" w:hAnsi="Verdana"/>
          <w:sz w:val="20"/>
          <w:szCs w:val="20"/>
        </w:rPr>
      </w:pPr>
      <w:r w:rsidRPr="001C6CAB">
        <w:rPr>
          <w:rFonts w:ascii="Verdana" w:hAnsi="Verdana"/>
          <w:sz w:val="20"/>
          <w:szCs w:val="20"/>
        </w:rPr>
        <w:t>1.1.3.</w:t>
      </w:r>
      <w:r>
        <w:rPr>
          <w:rFonts w:ascii="Verdana" w:hAnsi="Verdana"/>
          <w:sz w:val="20"/>
          <w:szCs w:val="20"/>
        </w:rPr>
        <w:t>9</w:t>
      </w:r>
      <w:r w:rsidR="009E039F">
        <w:rPr>
          <w:rFonts w:ascii="Verdana" w:hAnsi="Verdana"/>
          <w:sz w:val="20"/>
          <w:szCs w:val="20"/>
        </w:rPr>
        <w:t>4</w:t>
      </w:r>
      <w:r w:rsidRPr="001C6CAB">
        <w:rPr>
          <w:rFonts w:ascii="Verdana" w:hAnsi="Verdana"/>
          <w:sz w:val="20"/>
          <w:szCs w:val="20"/>
        </w:rPr>
        <w:t>.</w:t>
      </w:r>
    </w:p>
    <w:p w14:paraId="7EF8ECD7" w14:textId="0E151577" w:rsidR="002B3025" w:rsidRPr="002B3025" w:rsidRDefault="002B3025" w:rsidP="00721F4D">
      <w:pPr>
        <w:pStyle w:val="Normal9pt"/>
        <w:rPr>
          <w:rFonts w:ascii="Verdana" w:hAnsi="Verdana"/>
          <w:bCs/>
          <w:sz w:val="20"/>
          <w:szCs w:val="20"/>
          <w:lang w:val="es-ES_tradnl"/>
        </w:rPr>
      </w:pPr>
      <w:r w:rsidRPr="002B3025">
        <w:rPr>
          <w:rFonts w:ascii="Verdana" w:hAnsi="Verdana"/>
          <w:bCs/>
          <w:sz w:val="20"/>
          <w:szCs w:val="20"/>
          <w:lang w:val="es-ES_tradnl"/>
        </w:rPr>
        <w:t xml:space="preserve">En el caso de la administración de portafolios de terceros, cuando el cliente lo requiera, se deben aplicar las instrucciones </w:t>
      </w:r>
      <w:r w:rsidR="00957074" w:rsidRPr="60169A51">
        <w:rPr>
          <w:rFonts w:ascii="Verdana" w:hAnsi="Verdana"/>
          <w:sz w:val="20"/>
          <w:szCs w:val="20"/>
          <w:lang w:val="es-ES"/>
        </w:rPr>
        <w:t xml:space="preserve">establecidas en el </w:t>
      </w:r>
      <w:r w:rsidR="00957074">
        <w:rPr>
          <w:rFonts w:ascii="Verdana" w:hAnsi="Verdana"/>
          <w:sz w:val="20"/>
          <w:szCs w:val="20"/>
          <w:lang w:val="es-ES"/>
        </w:rPr>
        <w:t>a</w:t>
      </w:r>
      <w:r w:rsidR="00957074" w:rsidRPr="60169A51">
        <w:rPr>
          <w:rFonts w:ascii="Verdana" w:hAnsi="Verdana"/>
          <w:sz w:val="20"/>
          <w:szCs w:val="20"/>
          <w:lang w:val="es-ES"/>
        </w:rPr>
        <w:t xml:space="preserve">nexo 7 del presente </w:t>
      </w:r>
      <w:r w:rsidR="00957074">
        <w:rPr>
          <w:rFonts w:ascii="Verdana" w:hAnsi="Verdana"/>
          <w:sz w:val="20"/>
          <w:szCs w:val="20"/>
          <w:lang w:val="es-ES"/>
        </w:rPr>
        <w:t>c</w:t>
      </w:r>
      <w:r w:rsidR="00957074" w:rsidRPr="60169A51">
        <w:rPr>
          <w:rFonts w:ascii="Verdana" w:hAnsi="Verdana"/>
          <w:sz w:val="20"/>
          <w:szCs w:val="20"/>
          <w:lang w:val="es-ES"/>
        </w:rPr>
        <w:t>apítulo.</w:t>
      </w:r>
    </w:p>
    <w:p w14:paraId="58C951AF" w14:textId="77777777" w:rsidR="00474B60" w:rsidRDefault="00474B60" w:rsidP="00721F4D">
      <w:pPr>
        <w:spacing w:after="0" w:line="240" w:lineRule="auto"/>
        <w:jc w:val="both"/>
        <w:outlineLvl w:val="0"/>
        <w:rPr>
          <w:rFonts w:ascii="Verdana" w:hAnsi="Verdana" w:cs="Arial"/>
          <w:bCs/>
          <w:sz w:val="20"/>
          <w:szCs w:val="20"/>
          <w:lang w:val="es-ES_tradnl"/>
        </w:rPr>
      </w:pPr>
    </w:p>
    <w:p w14:paraId="4145EDB7" w14:textId="18014D24" w:rsidR="00474B60" w:rsidRPr="001C6CAB" w:rsidRDefault="00474B60" w:rsidP="00474B60">
      <w:pPr>
        <w:spacing w:after="0"/>
        <w:rPr>
          <w:rFonts w:ascii="Verdana" w:hAnsi="Verdana"/>
          <w:sz w:val="20"/>
          <w:szCs w:val="20"/>
        </w:rPr>
      </w:pPr>
      <w:r w:rsidRPr="001C6CAB">
        <w:rPr>
          <w:rFonts w:ascii="Verdana" w:hAnsi="Verdana"/>
          <w:sz w:val="20"/>
          <w:szCs w:val="20"/>
        </w:rPr>
        <w:t>1.1.3.</w:t>
      </w:r>
      <w:r w:rsidR="009E039F">
        <w:rPr>
          <w:rFonts w:ascii="Verdana" w:hAnsi="Verdana"/>
          <w:sz w:val="20"/>
          <w:szCs w:val="20"/>
        </w:rPr>
        <w:t>95</w:t>
      </w:r>
      <w:r w:rsidRPr="001C6CAB">
        <w:rPr>
          <w:rFonts w:ascii="Verdana" w:hAnsi="Verdana"/>
          <w:sz w:val="20"/>
          <w:szCs w:val="20"/>
        </w:rPr>
        <w:t>.</w:t>
      </w:r>
    </w:p>
    <w:p w14:paraId="3958B0EB" w14:textId="4A049954" w:rsidR="002B3025" w:rsidRPr="00957074" w:rsidRDefault="002B3025" w:rsidP="00721F4D">
      <w:pPr>
        <w:spacing w:after="0" w:line="240" w:lineRule="auto"/>
        <w:jc w:val="both"/>
        <w:outlineLvl w:val="0"/>
        <w:rPr>
          <w:rFonts w:ascii="Verdana" w:eastAsia="Times New Roman" w:hAnsi="Verdana" w:cs="Arial"/>
          <w:kern w:val="0"/>
          <w:sz w:val="20"/>
          <w:szCs w:val="20"/>
          <w:lang w:val="es-ES" w:eastAsia="es-ES"/>
          <w14:ligatures w14:val="none"/>
        </w:rPr>
      </w:pPr>
      <w:r w:rsidRPr="00957074">
        <w:rPr>
          <w:rFonts w:ascii="Verdana" w:eastAsia="Times New Roman" w:hAnsi="Verdana" w:cs="Arial"/>
          <w:kern w:val="0"/>
          <w:sz w:val="20"/>
          <w:szCs w:val="20"/>
          <w:lang w:val="es-ES" w:eastAsia="es-ES"/>
          <w14:ligatures w14:val="none"/>
        </w:rPr>
        <w:t xml:space="preserve">Deben reportar los resultados de la medición del riesgo de mercado en los formatos </w:t>
      </w:r>
      <w:r w:rsidR="00957074" w:rsidRPr="00957074">
        <w:rPr>
          <w:rFonts w:ascii="Verdana" w:eastAsia="Times New Roman" w:hAnsi="Verdana" w:cs="Arial"/>
          <w:kern w:val="0"/>
          <w:sz w:val="20"/>
          <w:szCs w:val="20"/>
          <w:lang w:val="es-ES" w:eastAsia="es-ES"/>
          <w14:ligatures w14:val="none"/>
        </w:rPr>
        <w:t>establecidas en el anexo 7 del presente capítulo.</w:t>
      </w:r>
    </w:p>
    <w:p w14:paraId="11E6D67B" w14:textId="77777777" w:rsidR="00F72386" w:rsidRDefault="00F72386" w:rsidP="00B929BB">
      <w:pPr>
        <w:pStyle w:val="Prrafodelista"/>
        <w:ind w:left="0"/>
        <w:jc w:val="both"/>
        <w:rPr>
          <w:rFonts w:ascii="Verdana" w:hAnsi="Verdana" w:cs="Arial"/>
          <w:b/>
          <w:sz w:val="20"/>
          <w:szCs w:val="20"/>
        </w:rPr>
      </w:pPr>
    </w:p>
    <w:p w14:paraId="6B8CC9DA" w14:textId="38939C7A" w:rsidR="002B3025" w:rsidRPr="00474B60" w:rsidRDefault="002B3025" w:rsidP="00551D66">
      <w:pPr>
        <w:pStyle w:val="Prrafodelista"/>
        <w:numPr>
          <w:ilvl w:val="0"/>
          <w:numId w:val="40"/>
        </w:numPr>
        <w:ind w:left="567" w:hanging="283"/>
        <w:jc w:val="both"/>
        <w:rPr>
          <w:rFonts w:ascii="Verdana" w:hAnsi="Verdana" w:cs="Arial"/>
          <w:b/>
          <w:sz w:val="20"/>
          <w:szCs w:val="20"/>
        </w:rPr>
      </w:pPr>
      <w:r w:rsidRPr="00474B60">
        <w:rPr>
          <w:rFonts w:ascii="Verdana" w:hAnsi="Verdana" w:cs="Arial"/>
          <w:b/>
          <w:sz w:val="20"/>
          <w:szCs w:val="20"/>
        </w:rPr>
        <w:t>Metodología estándar aplicable a las SF, sociedades administradoras de fondos de pensiones y de cesantía, las entidades administradoras del régimen solidario de prima media, SAI, EA y las sociedades de capitalización.</w:t>
      </w:r>
    </w:p>
    <w:p w14:paraId="075C1403" w14:textId="64D4E2C8" w:rsidR="003415FD" w:rsidRPr="001C6CAB" w:rsidRDefault="003415FD" w:rsidP="003415FD">
      <w:pPr>
        <w:spacing w:after="0"/>
        <w:rPr>
          <w:rFonts w:ascii="Verdana" w:hAnsi="Verdana"/>
          <w:sz w:val="20"/>
          <w:szCs w:val="20"/>
        </w:rPr>
      </w:pPr>
      <w:r w:rsidRPr="001C6CAB">
        <w:rPr>
          <w:rFonts w:ascii="Verdana" w:hAnsi="Verdana"/>
          <w:sz w:val="20"/>
          <w:szCs w:val="20"/>
        </w:rPr>
        <w:t>1.1.3.</w:t>
      </w:r>
      <w:r w:rsidR="009E039F">
        <w:rPr>
          <w:rFonts w:ascii="Verdana" w:hAnsi="Verdana"/>
          <w:sz w:val="20"/>
          <w:szCs w:val="20"/>
        </w:rPr>
        <w:t>96</w:t>
      </w:r>
      <w:r w:rsidRPr="001C6CAB">
        <w:rPr>
          <w:rFonts w:ascii="Verdana" w:hAnsi="Verdana"/>
          <w:sz w:val="20"/>
          <w:szCs w:val="20"/>
        </w:rPr>
        <w:t>.</w:t>
      </w:r>
    </w:p>
    <w:p w14:paraId="184F4A0C" w14:textId="7A054064" w:rsidR="002B3025" w:rsidRPr="002B3025" w:rsidRDefault="00B06CAF" w:rsidP="60169A51">
      <w:pPr>
        <w:pStyle w:val="Normal9pt"/>
        <w:rPr>
          <w:rFonts w:ascii="Verdana" w:hAnsi="Verdana"/>
          <w:sz w:val="20"/>
          <w:szCs w:val="20"/>
          <w:lang w:val="es-ES"/>
        </w:rPr>
      </w:pPr>
      <w:r>
        <w:rPr>
          <w:rFonts w:ascii="Verdana" w:hAnsi="Verdana"/>
          <w:sz w:val="20"/>
          <w:szCs w:val="20"/>
          <w:lang w:val="es-ES"/>
        </w:rPr>
        <w:t>Estas entidades d</w:t>
      </w:r>
      <w:r w:rsidR="002B3025" w:rsidRPr="60169A51">
        <w:rPr>
          <w:rFonts w:ascii="Verdana" w:hAnsi="Verdana"/>
          <w:sz w:val="20"/>
          <w:szCs w:val="20"/>
          <w:lang w:val="es-ES"/>
        </w:rPr>
        <w:t xml:space="preserve">eben implementar el modelo estándar para realizar la medición del riesgo de mercado que se derive de sus posiciones en el libro de tesorería y de sus operaciones de contado. Adicionalmente deben implementar el modelo estándar para la medición del riesgo de mercado para aquellos FIC y otros fondos que administren, de acuerdo con las instrucciones establecidas en el </w:t>
      </w:r>
      <w:r w:rsidR="005E3055" w:rsidRPr="00957074">
        <w:rPr>
          <w:rFonts w:ascii="Verdana" w:hAnsi="Verdana"/>
          <w:sz w:val="20"/>
          <w:szCs w:val="20"/>
          <w:lang w:val="es-ES"/>
        </w:rPr>
        <w:t>anexo 7 del presente capítulo.</w:t>
      </w:r>
    </w:p>
    <w:p w14:paraId="34D86B0D" w14:textId="77777777" w:rsidR="002B3025" w:rsidRPr="002B3025" w:rsidRDefault="002B3025" w:rsidP="003415FD">
      <w:pPr>
        <w:pStyle w:val="Normal9pt"/>
        <w:rPr>
          <w:rFonts w:ascii="Verdana" w:hAnsi="Verdana"/>
          <w:bCs/>
          <w:sz w:val="20"/>
          <w:szCs w:val="20"/>
          <w:lang w:val="es-ES_tradnl"/>
        </w:rPr>
      </w:pPr>
    </w:p>
    <w:p w14:paraId="753CE122" w14:textId="0CA66D0F" w:rsidR="008C2CBB" w:rsidRPr="001C6CAB" w:rsidRDefault="008C2CBB" w:rsidP="008C2CBB">
      <w:pPr>
        <w:spacing w:after="0"/>
        <w:rPr>
          <w:rFonts w:ascii="Verdana" w:hAnsi="Verdana"/>
          <w:sz w:val="20"/>
          <w:szCs w:val="20"/>
        </w:rPr>
      </w:pPr>
      <w:r w:rsidRPr="001C6CAB">
        <w:rPr>
          <w:rFonts w:ascii="Verdana" w:hAnsi="Verdana"/>
          <w:sz w:val="20"/>
          <w:szCs w:val="20"/>
        </w:rPr>
        <w:t>1.1.3.</w:t>
      </w:r>
      <w:r w:rsidR="009E039F">
        <w:rPr>
          <w:rFonts w:ascii="Verdana" w:hAnsi="Verdana"/>
          <w:sz w:val="20"/>
          <w:szCs w:val="20"/>
        </w:rPr>
        <w:t>97</w:t>
      </w:r>
      <w:r w:rsidRPr="001C6CAB">
        <w:rPr>
          <w:rFonts w:ascii="Verdana" w:hAnsi="Verdana"/>
          <w:sz w:val="20"/>
          <w:szCs w:val="20"/>
        </w:rPr>
        <w:t>.</w:t>
      </w:r>
    </w:p>
    <w:p w14:paraId="20DE40F7" w14:textId="72D2D016" w:rsidR="00BC0CFB" w:rsidRPr="00C60907" w:rsidRDefault="002B3025" w:rsidP="00B929BB">
      <w:pPr>
        <w:pStyle w:val="Normal9pt"/>
        <w:rPr>
          <w:rFonts w:ascii="Verdana" w:hAnsi="Verdana"/>
          <w:sz w:val="20"/>
          <w:szCs w:val="20"/>
          <w:lang w:val="es-ES"/>
        </w:rPr>
      </w:pPr>
      <w:r w:rsidRPr="003415FD">
        <w:rPr>
          <w:rFonts w:ascii="Verdana" w:hAnsi="Verdana"/>
          <w:bCs/>
          <w:sz w:val="20"/>
          <w:szCs w:val="20"/>
          <w:lang w:val="es-ES_tradnl"/>
        </w:rPr>
        <w:t xml:space="preserve">Deben reportar los resultados de la medición del riesgo de mercado en los formatos establecidos </w:t>
      </w:r>
      <w:r w:rsidR="005E3055" w:rsidRPr="60169A51">
        <w:rPr>
          <w:rFonts w:ascii="Verdana" w:hAnsi="Verdana"/>
          <w:sz w:val="20"/>
          <w:szCs w:val="20"/>
          <w:lang w:val="es-ES"/>
        </w:rPr>
        <w:t xml:space="preserve">en el </w:t>
      </w:r>
      <w:r w:rsidR="005E3055" w:rsidRPr="00957074">
        <w:rPr>
          <w:rFonts w:ascii="Verdana" w:hAnsi="Verdana"/>
          <w:sz w:val="20"/>
          <w:szCs w:val="20"/>
          <w:lang w:val="es-ES"/>
        </w:rPr>
        <w:t>anexo 7 del presente capítulo.</w:t>
      </w:r>
    </w:p>
    <w:p w14:paraId="3B172431" w14:textId="77777777" w:rsidR="00BC0CFB" w:rsidRDefault="00BC0CFB" w:rsidP="00B929BB">
      <w:pPr>
        <w:pStyle w:val="Normal9pt"/>
        <w:rPr>
          <w:rFonts w:ascii="Verdana" w:hAnsi="Verdana"/>
          <w:bCs/>
          <w:sz w:val="20"/>
          <w:szCs w:val="20"/>
          <w:lang w:val="es-ES_tradnl"/>
        </w:rPr>
      </w:pPr>
    </w:p>
    <w:p w14:paraId="7EB61D8A" w14:textId="77777777" w:rsidR="00615257" w:rsidRDefault="00615257" w:rsidP="00B929BB">
      <w:pPr>
        <w:pStyle w:val="Normal9pt"/>
        <w:rPr>
          <w:rFonts w:ascii="Verdana" w:hAnsi="Verdana"/>
          <w:bCs/>
          <w:sz w:val="20"/>
          <w:szCs w:val="20"/>
          <w:lang w:val="es-ES_tradnl"/>
        </w:rPr>
      </w:pPr>
    </w:p>
    <w:p w14:paraId="120953FB" w14:textId="77777777" w:rsidR="00615257" w:rsidRDefault="00615257" w:rsidP="00B929BB">
      <w:pPr>
        <w:pStyle w:val="Normal9pt"/>
        <w:rPr>
          <w:rFonts w:ascii="Verdana" w:hAnsi="Verdana"/>
          <w:bCs/>
          <w:sz w:val="20"/>
          <w:szCs w:val="20"/>
          <w:lang w:val="es-ES_tradnl"/>
        </w:rPr>
      </w:pPr>
    </w:p>
    <w:p w14:paraId="036E6237" w14:textId="77777777" w:rsidR="00615257" w:rsidRDefault="00615257" w:rsidP="00B929BB">
      <w:pPr>
        <w:pStyle w:val="Normal9pt"/>
        <w:rPr>
          <w:rFonts w:ascii="Verdana" w:hAnsi="Verdana"/>
          <w:bCs/>
          <w:sz w:val="20"/>
          <w:szCs w:val="20"/>
          <w:lang w:val="es-ES_tradnl"/>
        </w:rPr>
      </w:pPr>
    </w:p>
    <w:p w14:paraId="1B3BB16A" w14:textId="77777777" w:rsidR="00615257" w:rsidRPr="002B3025" w:rsidRDefault="00615257" w:rsidP="00B929BB">
      <w:pPr>
        <w:pStyle w:val="Normal9pt"/>
        <w:rPr>
          <w:rFonts w:ascii="Verdana" w:hAnsi="Verdana"/>
          <w:bCs/>
          <w:sz w:val="20"/>
          <w:szCs w:val="20"/>
          <w:lang w:val="es-ES_tradnl"/>
        </w:rPr>
      </w:pPr>
    </w:p>
    <w:p w14:paraId="2BE2DDB9" w14:textId="4C77DA5E" w:rsidR="002B3025" w:rsidRPr="008C2CBB" w:rsidRDefault="002B3025" w:rsidP="00551D66">
      <w:pPr>
        <w:pStyle w:val="Prrafodelista"/>
        <w:numPr>
          <w:ilvl w:val="0"/>
          <w:numId w:val="40"/>
        </w:numPr>
        <w:ind w:left="567" w:hanging="283"/>
        <w:jc w:val="both"/>
        <w:rPr>
          <w:rFonts w:ascii="Verdana" w:hAnsi="Verdana" w:cs="Arial"/>
          <w:b/>
          <w:sz w:val="20"/>
          <w:szCs w:val="20"/>
        </w:rPr>
      </w:pPr>
      <w:r w:rsidRPr="008C2CBB">
        <w:rPr>
          <w:rFonts w:ascii="Verdana" w:hAnsi="Verdana" w:cs="Arial"/>
          <w:b/>
          <w:sz w:val="20"/>
          <w:szCs w:val="20"/>
        </w:rPr>
        <w:lastRenderedPageBreak/>
        <w:t xml:space="preserve">Metodología estándar aplicable a los fondos y/o fideicomisos listados en el </w:t>
      </w:r>
      <w:r w:rsidR="00BE3439">
        <w:rPr>
          <w:rFonts w:ascii="Verdana" w:hAnsi="Verdana" w:cs="Arial"/>
          <w:b/>
          <w:sz w:val="20"/>
          <w:szCs w:val="20"/>
        </w:rPr>
        <w:t xml:space="preserve">literal (d) del párrafo 1.1.3.82. </w:t>
      </w:r>
    </w:p>
    <w:p w14:paraId="00911A06" w14:textId="57275C56" w:rsidR="008C2CBB" w:rsidRPr="001C6CAB" w:rsidRDefault="008C2CBB" w:rsidP="008C2CBB">
      <w:pPr>
        <w:spacing w:after="0"/>
        <w:rPr>
          <w:rFonts w:ascii="Verdana" w:hAnsi="Verdana"/>
          <w:sz w:val="20"/>
          <w:szCs w:val="20"/>
        </w:rPr>
      </w:pPr>
      <w:r w:rsidRPr="001C6CAB">
        <w:rPr>
          <w:rFonts w:ascii="Verdana" w:hAnsi="Verdana"/>
          <w:sz w:val="20"/>
          <w:szCs w:val="20"/>
        </w:rPr>
        <w:t>1.1.3.</w:t>
      </w:r>
      <w:r w:rsidR="009E039F">
        <w:rPr>
          <w:rFonts w:ascii="Verdana" w:hAnsi="Verdana"/>
          <w:sz w:val="20"/>
          <w:szCs w:val="20"/>
        </w:rPr>
        <w:t>98</w:t>
      </w:r>
      <w:r w:rsidRPr="001C6CAB">
        <w:rPr>
          <w:rFonts w:ascii="Verdana" w:hAnsi="Verdana"/>
          <w:sz w:val="20"/>
          <w:szCs w:val="20"/>
        </w:rPr>
        <w:t>.</w:t>
      </w:r>
    </w:p>
    <w:p w14:paraId="501DD59D" w14:textId="48048854" w:rsidR="002B3025" w:rsidRPr="002B3025" w:rsidRDefault="0058493C" w:rsidP="61A804E2">
      <w:pPr>
        <w:pStyle w:val="Normal9pt"/>
        <w:rPr>
          <w:rFonts w:ascii="Verdana" w:hAnsi="Verdana"/>
          <w:sz w:val="20"/>
          <w:szCs w:val="20"/>
          <w:lang w:val="es-ES"/>
        </w:rPr>
      </w:pPr>
      <w:r>
        <w:rPr>
          <w:rFonts w:ascii="Verdana" w:hAnsi="Verdana"/>
          <w:sz w:val="20"/>
          <w:szCs w:val="20"/>
          <w:lang w:val="es-ES"/>
        </w:rPr>
        <w:t>Las entidades que administran los recursos de estos fondos y/o fideicomisos d</w:t>
      </w:r>
      <w:r w:rsidR="002B3025" w:rsidRPr="61A804E2">
        <w:rPr>
          <w:rFonts w:ascii="Verdana" w:hAnsi="Verdana"/>
          <w:sz w:val="20"/>
          <w:szCs w:val="20"/>
          <w:lang w:val="es-ES"/>
        </w:rPr>
        <w:t xml:space="preserve">eben implementar el modelo estándar para realizar la medición del riesgo de mercado de acuerdo con las instrucciones </w:t>
      </w:r>
      <w:r w:rsidR="003D2211" w:rsidRPr="61A804E2">
        <w:rPr>
          <w:rFonts w:ascii="Verdana" w:hAnsi="Verdana"/>
          <w:sz w:val="20"/>
          <w:szCs w:val="20"/>
          <w:lang w:val="es-ES"/>
        </w:rPr>
        <w:t xml:space="preserve">establecidos en el anexo 7 del presente capítulo. </w:t>
      </w:r>
    </w:p>
    <w:p w14:paraId="54C4DBE4" w14:textId="77777777" w:rsidR="002B3DE5" w:rsidRDefault="002B3DE5" w:rsidP="008C2CBB">
      <w:pPr>
        <w:spacing w:after="0"/>
        <w:rPr>
          <w:rFonts w:ascii="Verdana" w:hAnsi="Verdana"/>
          <w:sz w:val="20"/>
          <w:szCs w:val="20"/>
        </w:rPr>
      </w:pPr>
    </w:p>
    <w:p w14:paraId="4D950E6F" w14:textId="126F5963" w:rsidR="008C2CBB" w:rsidRPr="001C6CAB" w:rsidRDefault="008C2CBB" w:rsidP="008C2CBB">
      <w:pPr>
        <w:spacing w:after="0"/>
        <w:rPr>
          <w:rFonts w:ascii="Verdana" w:hAnsi="Verdana"/>
          <w:sz w:val="20"/>
          <w:szCs w:val="20"/>
        </w:rPr>
      </w:pPr>
      <w:r w:rsidRPr="001C6CAB">
        <w:rPr>
          <w:rFonts w:ascii="Verdana" w:hAnsi="Verdana"/>
          <w:sz w:val="20"/>
          <w:szCs w:val="20"/>
        </w:rPr>
        <w:t>1.1.3.</w:t>
      </w:r>
      <w:r w:rsidR="009E039F">
        <w:rPr>
          <w:rFonts w:ascii="Verdana" w:hAnsi="Verdana"/>
          <w:sz w:val="20"/>
          <w:szCs w:val="20"/>
        </w:rPr>
        <w:t>99</w:t>
      </w:r>
      <w:r w:rsidRPr="001C6CAB">
        <w:rPr>
          <w:rFonts w:ascii="Verdana" w:hAnsi="Verdana"/>
          <w:sz w:val="20"/>
          <w:szCs w:val="20"/>
        </w:rPr>
        <w:t>.</w:t>
      </w:r>
    </w:p>
    <w:p w14:paraId="3EFEEF03" w14:textId="0CEEDF34" w:rsidR="00F72386" w:rsidRDefault="002B3025" w:rsidP="00F72386">
      <w:pPr>
        <w:spacing w:after="0" w:line="240" w:lineRule="auto"/>
        <w:jc w:val="both"/>
        <w:outlineLvl w:val="0"/>
        <w:rPr>
          <w:rFonts w:ascii="Verdana" w:hAnsi="Verdana"/>
          <w:bCs/>
          <w:sz w:val="20"/>
          <w:szCs w:val="20"/>
          <w:lang w:val="es-ES_tradnl"/>
        </w:rPr>
      </w:pPr>
      <w:r w:rsidRPr="008C2CBB">
        <w:rPr>
          <w:rFonts w:ascii="Verdana" w:hAnsi="Verdana" w:cs="Arial"/>
          <w:bCs/>
          <w:sz w:val="20"/>
          <w:szCs w:val="20"/>
          <w:lang w:val="es-ES_tradnl"/>
        </w:rPr>
        <w:t xml:space="preserve">Deben reportar los resultados de la medición del riesgo de mercado en los formatos establecidos </w:t>
      </w:r>
      <w:r w:rsidR="003D2211">
        <w:rPr>
          <w:rFonts w:ascii="Verdana" w:hAnsi="Verdana"/>
          <w:bCs/>
          <w:sz w:val="20"/>
          <w:szCs w:val="20"/>
          <w:lang w:val="es-ES_tradnl"/>
        </w:rPr>
        <w:t>en el anexo 7 del presente capítulo.</w:t>
      </w:r>
    </w:p>
    <w:p w14:paraId="3D16F307" w14:textId="77777777" w:rsidR="003D2211" w:rsidRPr="002B3025" w:rsidRDefault="003D2211" w:rsidP="00F72386">
      <w:pPr>
        <w:spacing w:after="0" w:line="240" w:lineRule="auto"/>
        <w:jc w:val="both"/>
        <w:outlineLvl w:val="0"/>
        <w:rPr>
          <w:rFonts w:ascii="Verdana" w:hAnsi="Verdana" w:cs="Arial"/>
          <w:bCs/>
          <w:sz w:val="20"/>
          <w:szCs w:val="20"/>
          <w:lang w:val="es-ES_tradnl"/>
        </w:rPr>
      </w:pPr>
    </w:p>
    <w:p w14:paraId="4EEBD978" w14:textId="7516ABAA" w:rsidR="008C2CBB" w:rsidRPr="001C6CAB" w:rsidRDefault="008C2CBB" w:rsidP="008C2CBB">
      <w:pPr>
        <w:spacing w:after="0"/>
        <w:rPr>
          <w:rFonts w:ascii="Verdana" w:hAnsi="Verdana"/>
          <w:sz w:val="20"/>
          <w:szCs w:val="20"/>
        </w:rPr>
      </w:pPr>
      <w:r w:rsidRPr="001C6CAB">
        <w:rPr>
          <w:rFonts w:ascii="Verdana" w:hAnsi="Verdana"/>
          <w:sz w:val="20"/>
          <w:szCs w:val="20"/>
        </w:rPr>
        <w:t>1.1.3.</w:t>
      </w:r>
      <w:r>
        <w:rPr>
          <w:rFonts w:ascii="Verdana" w:hAnsi="Verdana"/>
          <w:sz w:val="20"/>
          <w:szCs w:val="20"/>
        </w:rPr>
        <w:t>10</w:t>
      </w:r>
      <w:r w:rsidR="009E039F">
        <w:rPr>
          <w:rFonts w:ascii="Verdana" w:hAnsi="Verdana"/>
          <w:sz w:val="20"/>
          <w:szCs w:val="20"/>
        </w:rPr>
        <w:t>0</w:t>
      </w:r>
      <w:r w:rsidRPr="001C6CAB">
        <w:rPr>
          <w:rFonts w:ascii="Verdana" w:hAnsi="Verdana"/>
          <w:sz w:val="20"/>
          <w:szCs w:val="20"/>
        </w:rPr>
        <w:t>.</w:t>
      </w:r>
    </w:p>
    <w:p w14:paraId="3826A156" w14:textId="280C7BBF" w:rsidR="00F72386" w:rsidRDefault="002B3025" w:rsidP="00F72386">
      <w:pPr>
        <w:jc w:val="both"/>
        <w:outlineLvl w:val="0"/>
        <w:rPr>
          <w:rFonts w:ascii="Verdana" w:hAnsi="Verdana" w:cs="Arial"/>
          <w:sz w:val="20"/>
          <w:szCs w:val="20"/>
          <w:lang w:val="es-ES"/>
        </w:rPr>
      </w:pPr>
      <w:r w:rsidRPr="60169A51">
        <w:rPr>
          <w:rFonts w:ascii="Verdana" w:hAnsi="Verdana" w:cs="Arial"/>
          <w:sz w:val="20"/>
          <w:szCs w:val="20"/>
          <w:lang w:val="es-ES"/>
        </w:rPr>
        <w:t>Tratándose de fideicomisos administrados por SF que efectúan inversiones de manera exclusiva en los FIC de la misma sociedad administradora, dichas inversiones se encuentran exentas de implementar el modelo estándar. También se encuentran exentos de usar la metodología estándar de los fideicomisos respecto de los cuales el fideicomitente de manera expresa y por escrito indique su voluntad de aplicar un modelo de medición distinto o exima de dicha obligación a la entidad.</w:t>
      </w:r>
    </w:p>
    <w:p w14:paraId="1F80C61B" w14:textId="1638DD4C" w:rsidR="002B3025" w:rsidRPr="00F72386" w:rsidRDefault="002B3025" w:rsidP="00551D66">
      <w:pPr>
        <w:pStyle w:val="Prrafodelista"/>
        <w:numPr>
          <w:ilvl w:val="0"/>
          <w:numId w:val="39"/>
        </w:numPr>
        <w:ind w:left="284" w:hanging="284"/>
        <w:jc w:val="both"/>
        <w:outlineLvl w:val="0"/>
        <w:rPr>
          <w:rFonts w:ascii="Verdana" w:hAnsi="Verdana" w:cs="Arial"/>
          <w:sz w:val="20"/>
          <w:szCs w:val="20"/>
          <w:lang w:val="es-ES"/>
        </w:rPr>
      </w:pPr>
      <w:r w:rsidRPr="00F72386">
        <w:rPr>
          <w:rFonts w:ascii="Verdana" w:hAnsi="Verdana" w:cs="Arial"/>
          <w:b/>
          <w:sz w:val="20"/>
          <w:szCs w:val="20"/>
        </w:rPr>
        <w:t>Modelos internos presentados para no objeción de la SFC</w:t>
      </w:r>
    </w:p>
    <w:p w14:paraId="3166B615" w14:textId="6F635925" w:rsidR="008C2CBB" w:rsidRPr="001C6CAB" w:rsidRDefault="008C2CBB" w:rsidP="008C2CBB">
      <w:pPr>
        <w:spacing w:after="0"/>
        <w:rPr>
          <w:rFonts w:ascii="Verdana" w:hAnsi="Verdana"/>
          <w:sz w:val="20"/>
          <w:szCs w:val="20"/>
        </w:rPr>
      </w:pPr>
      <w:r w:rsidRPr="001C6CAB">
        <w:rPr>
          <w:rFonts w:ascii="Verdana" w:hAnsi="Verdana"/>
          <w:sz w:val="20"/>
          <w:szCs w:val="20"/>
        </w:rPr>
        <w:t>1.1.3.</w:t>
      </w:r>
      <w:r>
        <w:rPr>
          <w:rFonts w:ascii="Verdana" w:hAnsi="Verdana"/>
          <w:sz w:val="20"/>
          <w:szCs w:val="20"/>
        </w:rPr>
        <w:t>10</w:t>
      </w:r>
      <w:r w:rsidR="009E039F">
        <w:rPr>
          <w:rFonts w:ascii="Verdana" w:hAnsi="Verdana"/>
          <w:sz w:val="20"/>
          <w:szCs w:val="20"/>
        </w:rPr>
        <w:t>1</w:t>
      </w:r>
      <w:r w:rsidRPr="001C6CAB">
        <w:rPr>
          <w:rFonts w:ascii="Verdana" w:hAnsi="Verdana"/>
          <w:sz w:val="20"/>
          <w:szCs w:val="20"/>
        </w:rPr>
        <w:t>.</w:t>
      </w:r>
    </w:p>
    <w:p w14:paraId="2A3CBA53" w14:textId="26D75AA6" w:rsidR="002B3025" w:rsidRPr="002B3025" w:rsidRDefault="002B3025" w:rsidP="00B929BB">
      <w:pPr>
        <w:jc w:val="both"/>
        <w:rPr>
          <w:rFonts w:ascii="Verdana" w:hAnsi="Verdana" w:cs="Arial"/>
          <w:bCs/>
          <w:sz w:val="20"/>
          <w:szCs w:val="20"/>
        </w:rPr>
      </w:pPr>
      <w:r w:rsidRPr="002B3025">
        <w:rPr>
          <w:rFonts w:ascii="Verdana" w:hAnsi="Verdana" w:cs="Arial"/>
          <w:bCs/>
          <w:sz w:val="20"/>
          <w:szCs w:val="20"/>
        </w:rPr>
        <w:t>Los modelos internos que presenten para no objeción corresponden a estructuras cuantitativas para la estimación de la exposición al riesgo de mercado que pueden sustituir el modelo estándar.</w:t>
      </w:r>
    </w:p>
    <w:p w14:paraId="75A228AA" w14:textId="63BEBF45" w:rsidR="008C2CBB" w:rsidRPr="001C6CAB" w:rsidRDefault="008C2CBB" w:rsidP="008C2CBB">
      <w:pPr>
        <w:spacing w:after="0"/>
        <w:rPr>
          <w:rFonts w:ascii="Verdana" w:hAnsi="Verdana"/>
          <w:sz w:val="20"/>
          <w:szCs w:val="20"/>
        </w:rPr>
      </w:pPr>
      <w:r w:rsidRPr="001C6CAB">
        <w:rPr>
          <w:rFonts w:ascii="Verdana" w:hAnsi="Verdana"/>
          <w:sz w:val="20"/>
          <w:szCs w:val="20"/>
        </w:rPr>
        <w:t>1.1.3.</w:t>
      </w:r>
      <w:r>
        <w:rPr>
          <w:rFonts w:ascii="Verdana" w:hAnsi="Verdana"/>
          <w:sz w:val="20"/>
          <w:szCs w:val="20"/>
        </w:rPr>
        <w:t>10</w:t>
      </w:r>
      <w:r w:rsidR="009E039F">
        <w:rPr>
          <w:rFonts w:ascii="Verdana" w:hAnsi="Verdana"/>
          <w:sz w:val="20"/>
          <w:szCs w:val="20"/>
        </w:rPr>
        <w:t>2</w:t>
      </w:r>
      <w:r w:rsidRPr="001C6CAB">
        <w:rPr>
          <w:rFonts w:ascii="Verdana" w:hAnsi="Verdana"/>
          <w:sz w:val="20"/>
          <w:szCs w:val="20"/>
        </w:rPr>
        <w:t>.</w:t>
      </w:r>
    </w:p>
    <w:p w14:paraId="75BA792A" w14:textId="77777777" w:rsidR="002B3025" w:rsidRPr="002B3025" w:rsidRDefault="002B3025" w:rsidP="00B929BB">
      <w:pPr>
        <w:tabs>
          <w:tab w:val="left" w:pos="709"/>
        </w:tabs>
        <w:jc w:val="both"/>
        <w:rPr>
          <w:rFonts w:ascii="Verdana" w:hAnsi="Verdana" w:cs="Arial"/>
          <w:bCs/>
          <w:sz w:val="20"/>
          <w:szCs w:val="20"/>
        </w:rPr>
      </w:pPr>
      <w:r w:rsidRPr="002B3025">
        <w:rPr>
          <w:rFonts w:ascii="Verdana" w:hAnsi="Verdana" w:cs="Arial"/>
          <w:bCs/>
          <w:sz w:val="20"/>
          <w:szCs w:val="20"/>
        </w:rPr>
        <w:t>La entidad puede utilizar una combinación entre su modelo interno y el estándar para medir su exposición a riesgo de mercado. Para lo anterior, debe tener en cuenta las siguientes consideraciones:</w:t>
      </w:r>
    </w:p>
    <w:p w14:paraId="7B32C111" w14:textId="1EFB4DCD" w:rsidR="002B3025" w:rsidRDefault="002B3025" w:rsidP="00634E67">
      <w:pPr>
        <w:pStyle w:val="Prrafodelista"/>
        <w:numPr>
          <w:ilvl w:val="0"/>
          <w:numId w:val="16"/>
        </w:numPr>
        <w:tabs>
          <w:tab w:val="num" w:pos="567"/>
        </w:tabs>
        <w:spacing w:after="0" w:line="240" w:lineRule="auto"/>
        <w:ind w:left="567" w:hanging="567"/>
        <w:jc w:val="both"/>
        <w:rPr>
          <w:rFonts w:ascii="Verdana" w:hAnsi="Verdana" w:cs="Arial"/>
          <w:bCs/>
          <w:sz w:val="20"/>
          <w:szCs w:val="20"/>
        </w:rPr>
      </w:pPr>
      <w:r w:rsidRPr="00910DA6">
        <w:rPr>
          <w:rFonts w:ascii="Verdana" w:hAnsi="Verdana" w:cs="Arial"/>
          <w:bCs/>
          <w:sz w:val="20"/>
          <w:szCs w:val="20"/>
        </w:rPr>
        <w:t xml:space="preserve">Pueden escoger entre utilizar el enfoque metodológico interno o estándar para cada uno de los módulos </w:t>
      </w:r>
      <w:r w:rsidRPr="0032058F">
        <w:rPr>
          <w:rFonts w:ascii="Verdana" w:hAnsi="Verdana" w:cs="Arial"/>
          <w:bCs/>
          <w:sz w:val="20"/>
          <w:szCs w:val="20"/>
        </w:rPr>
        <w:t xml:space="preserve">contemplados en los </w:t>
      </w:r>
      <w:r w:rsidR="0032058F">
        <w:rPr>
          <w:rFonts w:ascii="Verdana" w:hAnsi="Verdana" w:cs="Arial"/>
          <w:bCs/>
          <w:sz w:val="20"/>
          <w:szCs w:val="20"/>
        </w:rPr>
        <w:t>anexos del presente capítulo,</w:t>
      </w:r>
      <w:r w:rsidRPr="00910DA6">
        <w:rPr>
          <w:rFonts w:ascii="Verdana" w:hAnsi="Verdana" w:cs="Arial"/>
          <w:bCs/>
          <w:sz w:val="20"/>
          <w:szCs w:val="20"/>
        </w:rPr>
        <w:t xml:space="preserve"> según corresponda.</w:t>
      </w:r>
    </w:p>
    <w:p w14:paraId="6207DC07" w14:textId="77777777" w:rsidR="00910DA6" w:rsidRPr="00910DA6" w:rsidRDefault="00910DA6" w:rsidP="00910DA6">
      <w:pPr>
        <w:pStyle w:val="Prrafodelista"/>
        <w:tabs>
          <w:tab w:val="num" w:pos="567"/>
        </w:tabs>
        <w:spacing w:after="0" w:line="240" w:lineRule="auto"/>
        <w:ind w:left="567"/>
        <w:jc w:val="both"/>
        <w:rPr>
          <w:rFonts w:ascii="Verdana" w:hAnsi="Verdana" w:cs="Arial"/>
          <w:bCs/>
          <w:sz w:val="20"/>
          <w:szCs w:val="20"/>
        </w:rPr>
      </w:pPr>
    </w:p>
    <w:p w14:paraId="6E789BA9" w14:textId="4DD0FCE5" w:rsidR="002B3025" w:rsidRDefault="002B3025" w:rsidP="00634E67">
      <w:pPr>
        <w:pStyle w:val="Prrafodelista"/>
        <w:numPr>
          <w:ilvl w:val="0"/>
          <w:numId w:val="16"/>
        </w:numPr>
        <w:tabs>
          <w:tab w:val="num" w:pos="567"/>
        </w:tabs>
        <w:spacing w:after="0" w:line="240" w:lineRule="auto"/>
        <w:ind w:left="567" w:hanging="567"/>
        <w:jc w:val="both"/>
        <w:rPr>
          <w:rFonts w:ascii="Verdana" w:hAnsi="Verdana" w:cs="Arial"/>
          <w:bCs/>
          <w:sz w:val="20"/>
          <w:szCs w:val="20"/>
        </w:rPr>
      </w:pPr>
      <w:r w:rsidRPr="00910DA6">
        <w:rPr>
          <w:rFonts w:ascii="Verdana" w:hAnsi="Verdana" w:cs="Arial"/>
          <w:bCs/>
          <w:sz w:val="20"/>
          <w:szCs w:val="20"/>
        </w:rPr>
        <w:t xml:space="preserve">Surtir el procedimiento señalado en los </w:t>
      </w:r>
      <w:r w:rsidR="0032058F">
        <w:rPr>
          <w:rFonts w:ascii="Verdana" w:hAnsi="Verdana" w:cs="Arial"/>
          <w:bCs/>
          <w:sz w:val="20"/>
          <w:szCs w:val="20"/>
        </w:rPr>
        <w:t xml:space="preserve">párrafos </w:t>
      </w:r>
      <w:r w:rsidRPr="0032058F">
        <w:rPr>
          <w:rFonts w:ascii="Verdana" w:hAnsi="Verdana" w:cs="Arial"/>
          <w:bCs/>
          <w:sz w:val="20"/>
          <w:szCs w:val="20"/>
        </w:rPr>
        <w:t>siguientes</w:t>
      </w:r>
      <w:r w:rsidRPr="00910DA6">
        <w:rPr>
          <w:rFonts w:ascii="Verdana" w:hAnsi="Verdana" w:cs="Arial"/>
          <w:bCs/>
          <w:sz w:val="20"/>
          <w:szCs w:val="20"/>
        </w:rPr>
        <w:t xml:space="preserve"> en el caso de la implementación de un modelo interno.</w:t>
      </w:r>
    </w:p>
    <w:p w14:paraId="5B6A1175" w14:textId="77777777" w:rsidR="00910DA6" w:rsidRPr="00910DA6" w:rsidRDefault="00910DA6" w:rsidP="00910DA6">
      <w:pPr>
        <w:pStyle w:val="Prrafodelista"/>
        <w:rPr>
          <w:rFonts w:ascii="Verdana" w:hAnsi="Verdana" w:cs="Arial"/>
          <w:bCs/>
          <w:sz w:val="20"/>
          <w:szCs w:val="20"/>
        </w:rPr>
      </w:pPr>
    </w:p>
    <w:p w14:paraId="23F8824E" w14:textId="77777777" w:rsidR="002B3025" w:rsidRPr="00910DA6" w:rsidRDefault="002B3025" w:rsidP="00634E67">
      <w:pPr>
        <w:pStyle w:val="Prrafodelista"/>
        <w:numPr>
          <w:ilvl w:val="0"/>
          <w:numId w:val="16"/>
        </w:numPr>
        <w:tabs>
          <w:tab w:val="num" w:pos="567"/>
        </w:tabs>
        <w:spacing w:after="0" w:line="240" w:lineRule="auto"/>
        <w:ind w:left="567" w:hanging="567"/>
        <w:jc w:val="both"/>
        <w:rPr>
          <w:rFonts w:ascii="Verdana" w:hAnsi="Verdana" w:cs="Arial"/>
          <w:bCs/>
          <w:sz w:val="20"/>
          <w:szCs w:val="20"/>
        </w:rPr>
      </w:pPr>
      <w:r w:rsidRPr="00910DA6">
        <w:rPr>
          <w:rFonts w:ascii="Verdana" w:hAnsi="Verdana" w:cs="Arial"/>
          <w:bCs/>
          <w:sz w:val="20"/>
          <w:szCs w:val="20"/>
        </w:rPr>
        <w:t>Cubrir todos los módulos por una u otra aproximación.</w:t>
      </w:r>
    </w:p>
    <w:p w14:paraId="377DB6D7" w14:textId="77777777" w:rsidR="00910DA6" w:rsidRDefault="00910DA6" w:rsidP="00910DA6">
      <w:pPr>
        <w:pStyle w:val="Prrafodelista"/>
        <w:tabs>
          <w:tab w:val="num" w:pos="567"/>
        </w:tabs>
        <w:spacing w:after="0" w:line="240" w:lineRule="auto"/>
        <w:ind w:left="567"/>
        <w:jc w:val="both"/>
        <w:rPr>
          <w:rFonts w:ascii="Verdana" w:hAnsi="Verdana" w:cs="Arial"/>
          <w:bCs/>
          <w:sz w:val="20"/>
          <w:szCs w:val="20"/>
        </w:rPr>
      </w:pPr>
    </w:p>
    <w:p w14:paraId="6BAFE932" w14:textId="276B686F" w:rsidR="002B3025" w:rsidRDefault="002B3025" w:rsidP="00B929BB">
      <w:pPr>
        <w:pStyle w:val="Prrafodelista"/>
        <w:numPr>
          <w:ilvl w:val="0"/>
          <w:numId w:val="16"/>
        </w:numPr>
        <w:tabs>
          <w:tab w:val="num" w:pos="567"/>
        </w:tabs>
        <w:spacing w:after="0" w:line="240" w:lineRule="auto"/>
        <w:ind w:left="567" w:hanging="567"/>
        <w:jc w:val="both"/>
        <w:rPr>
          <w:rFonts w:ascii="Verdana" w:hAnsi="Verdana" w:cs="Arial"/>
          <w:bCs/>
          <w:sz w:val="20"/>
          <w:szCs w:val="20"/>
        </w:rPr>
      </w:pPr>
      <w:r w:rsidRPr="00910DA6">
        <w:rPr>
          <w:rFonts w:ascii="Verdana" w:hAnsi="Verdana" w:cs="Arial"/>
          <w:bCs/>
          <w:sz w:val="20"/>
          <w:szCs w:val="20"/>
        </w:rPr>
        <w:t>No pueden realizarse correlaciones entre los módulos calculados bajo la aproximación estándar y aquellos calculados mediante la aproximación de los modelos internos.</w:t>
      </w:r>
    </w:p>
    <w:p w14:paraId="2C28729D" w14:textId="77777777" w:rsidR="003C0BF9" w:rsidRPr="003C0BF9" w:rsidRDefault="003C0BF9" w:rsidP="003C0BF9">
      <w:pPr>
        <w:spacing w:after="0" w:line="240" w:lineRule="auto"/>
        <w:jc w:val="both"/>
        <w:rPr>
          <w:rFonts w:ascii="Verdana" w:hAnsi="Verdana" w:cs="Arial"/>
          <w:bCs/>
          <w:sz w:val="20"/>
          <w:szCs w:val="20"/>
        </w:rPr>
      </w:pPr>
    </w:p>
    <w:p w14:paraId="70360BBA" w14:textId="0C62B057" w:rsidR="00EF7531" w:rsidRPr="001C6CAB" w:rsidRDefault="00EF7531" w:rsidP="00EF7531">
      <w:pPr>
        <w:spacing w:after="0"/>
        <w:rPr>
          <w:rFonts w:ascii="Verdana" w:hAnsi="Verdana"/>
          <w:sz w:val="20"/>
          <w:szCs w:val="20"/>
        </w:rPr>
      </w:pPr>
      <w:r w:rsidRPr="001C6CAB">
        <w:rPr>
          <w:rFonts w:ascii="Verdana" w:hAnsi="Verdana"/>
          <w:sz w:val="20"/>
          <w:szCs w:val="20"/>
        </w:rPr>
        <w:t>1.1.3.</w:t>
      </w:r>
      <w:r>
        <w:rPr>
          <w:rFonts w:ascii="Verdana" w:hAnsi="Verdana"/>
          <w:sz w:val="20"/>
          <w:szCs w:val="20"/>
        </w:rPr>
        <w:t>10</w:t>
      </w:r>
      <w:r w:rsidR="009E039F">
        <w:rPr>
          <w:rFonts w:ascii="Verdana" w:hAnsi="Verdana"/>
          <w:sz w:val="20"/>
          <w:szCs w:val="20"/>
        </w:rPr>
        <w:t>3</w:t>
      </w:r>
      <w:r w:rsidRPr="001C6CAB">
        <w:rPr>
          <w:rFonts w:ascii="Verdana" w:hAnsi="Verdana"/>
          <w:sz w:val="20"/>
          <w:szCs w:val="20"/>
        </w:rPr>
        <w:t>.</w:t>
      </w:r>
    </w:p>
    <w:p w14:paraId="56920492" w14:textId="4A5D9036" w:rsidR="002B3025" w:rsidRPr="002B3025" w:rsidRDefault="002B3025" w:rsidP="12B437D6">
      <w:pPr>
        <w:tabs>
          <w:tab w:val="left" w:pos="709"/>
        </w:tabs>
        <w:jc w:val="both"/>
        <w:rPr>
          <w:rFonts w:ascii="Verdana" w:hAnsi="Verdana" w:cs="Arial"/>
          <w:sz w:val="20"/>
          <w:szCs w:val="20"/>
        </w:rPr>
      </w:pPr>
      <w:r w:rsidRPr="12B437D6">
        <w:rPr>
          <w:rFonts w:ascii="Verdana" w:hAnsi="Verdana" w:cs="Arial"/>
          <w:sz w:val="20"/>
          <w:szCs w:val="20"/>
        </w:rPr>
        <w:t>La evaluación por parte de la SFC de los modelos internos se llevará a cabo en forma integral, considerando la consistencia con los elementos definidos en el SIAR, la capacidad predictiva del modelo, así como los requisitos que se señalan a continuación.</w:t>
      </w:r>
    </w:p>
    <w:p w14:paraId="23EDB898" w14:textId="2A797516" w:rsidR="00EF7531" w:rsidRPr="001C6CAB" w:rsidRDefault="00EF7531" w:rsidP="00EF7531">
      <w:pPr>
        <w:spacing w:after="0"/>
        <w:rPr>
          <w:rFonts w:ascii="Verdana" w:hAnsi="Verdana"/>
          <w:sz w:val="20"/>
          <w:szCs w:val="20"/>
        </w:rPr>
      </w:pPr>
      <w:r w:rsidRPr="001C6CAB">
        <w:rPr>
          <w:rFonts w:ascii="Verdana" w:hAnsi="Verdana"/>
          <w:sz w:val="20"/>
          <w:szCs w:val="20"/>
        </w:rPr>
        <w:t>1.1.3.</w:t>
      </w:r>
      <w:r>
        <w:rPr>
          <w:rFonts w:ascii="Verdana" w:hAnsi="Verdana"/>
          <w:sz w:val="20"/>
          <w:szCs w:val="20"/>
        </w:rPr>
        <w:t>10</w:t>
      </w:r>
      <w:r w:rsidR="009E039F">
        <w:rPr>
          <w:rFonts w:ascii="Verdana" w:hAnsi="Verdana"/>
          <w:sz w:val="20"/>
          <w:szCs w:val="20"/>
        </w:rPr>
        <w:t>4</w:t>
      </w:r>
      <w:r w:rsidRPr="001C6CAB">
        <w:rPr>
          <w:rFonts w:ascii="Verdana" w:hAnsi="Verdana"/>
          <w:sz w:val="20"/>
          <w:szCs w:val="20"/>
        </w:rPr>
        <w:t>.</w:t>
      </w:r>
    </w:p>
    <w:p w14:paraId="60C4B69D" w14:textId="2787CFAE" w:rsidR="002B3025" w:rsidRPr="002B3025" w:rsidRDefault="002B3025" w:rsidP="00B929BB">
      <w:pPr>
        <w:tabs>
          <w:tab w:val="left" w:pos="709"/>
        </w:tabs>
        <w:jc w:val="both"/>
        <w:rPr>
          <w:rFonts w:ascii="Verdana" w:hAnsi="Verdana" w:cs="Arial"/>
          <w:bCs/>
          <w:sz w:val="20"/>
          <w:szCs w:val="20"/>
        </w:rPr>
      </w:pPr>
      <w:r w:rsidRPr="002B3025">
        <w:rPr>
          <w:rFonts w:ascii="Verdana" w:hAnsi="Verdana" w:cs="Arial"/>
          <w:bCs/>
          <w:sz w:val="20"/>
          <w:szCs w:val="20"/>
        </w:rPr>
        <w:t>Sin perjuicio de lo anterior,</w:t>
      </w:r>
      <w:r w:rsidRPr="002B3025" w:rsidDel="006D2F2B">
        <w:rPr>
          <w:rFonts w:ascii="Verdana" w:hAnsi="Verdana" w:cs="Arial"/>
          <w:bCs/>
          <w:sz w:val="20"/>
          <w:szCs w:val="20"/>
        </w:rPr>
        <w:t xml:space="preserve"> </w:t>
      </w:r>
      <w:r w:rsidRPr="002B3025">
        <w:rPr>
          <w:rFonts w:ascii="Verdana" w:hAnsi="Verdana" w:cs="Arial"/>
          <w:bCs/>
          <w:sz w:val="20"/>
          <w:szCs w:val="20"/>
        </w:rPr>
        <w:t>las entidades a las que les aplica</w:t>
      </w:r>
      <w:r w:rsidR="004203DA">
        <w:rPr>
          <w:rFonts w:ascii="Verdana" w:hAnsi="Verdana" w:cs="Arial"/>
          <w:bCs/>
          <w:sz w:val="20"/>
          <w:szCs w:val="20"/>
        </w:rPr>
        <w:t>n las instrucciones</w:t>
      </w:r>
      <w:r w:rsidR="0030069A">
        <w:rPr>
          <w:rFonts w:ascii="Verdana" w:hAnsi="Verdana" w:cs="Arial"/>
          <w:bCs/>
          <w:sz w:val="20"/>
          <w:szCs w:val="20"/>
        </w:rPr>
        <w:t xml:space="preserve"> </w:t>
      </w:r>
      <w:r w:rsidR="004203DA">
        <w:rPr>
          <w:rFonts w:ascii="Verdana" w:hAnsi="Verdana" w:cs="Arial"/>
          <w:bCs/>
          <w:sz w:val="20"/>
          <w:szCs w:val="20"/>
        </w:rPr>
        <w:t>previstas</w:t>
      </w:r>
      <w:r w:rsidR="0030069A">
        <w:rPr>
          <w:rFonts w:ascii="Verdana" w:hAnsi="Verdana" w:cs="Arial"/>
          <w:bCs/>
          <w:sz w:val="20"/>
          <w:szCs w:val="20"/>
        </w:rPr>
        <w:t xml:space="preserve"> entre los párrafos 1.1.3.101 y 1.1.3.117</w:t>
      </w:r>
      <w:r w:rsidRPr="002B3025" w:rsidDel="0030069A">
        <w:rPr>
          <w:rFonts w:ascii="Verdana" w:hAnsi="Verdana" w:cs="Arial"/>
          <w:bCs/>
          <w:sz w:val="20"/>
          <w:szCs w:val="20"/>
        </w:rPr>
        <w:t xml:space="preserve"> </w:t>
      </w:r>
      <w:r w:rsidRPr="002B3025">
        <w:rPr>
          <w:rFonts w:ascii="Verdana" w:hAnsi="Verdana" w:cs="Arial"/>
          <w:bCs/>
          <w:sz w:val="20"/>
          <w:szCs w:val="20"/>
        </w:rPr>
        <w:t>deben estar en capacidad de reportar el valor que resultaría de calcular la exposición a</w:t>
      </w:r>
      <w:r w:rsidR="00E53D31">
        <w:rPr>
          <w:rFonts w:ascii="Verdana" w:hAnsi="Verdana" w:cs="Arial"/>
          <w:bCs/>
          <w:sz w:val="20"/>
          <w:szCs w:val="20"/>
        </w:rPr>
        <w:t>l</w:t>
      </w:r>
      <w:r w:rsidRPr="002B3025">
        <w:rPr>
          <w:rFonts w:ascii="Verdana" w:hAnsi="Verdana" w:cs="Arial"/>
          <w:bCs/>
          <w:sz w:val="20"/>
          <w:szCs w:val="20"/>
        </w:rPr>
        <w:t xml:space="preserve"> riesgo de mercado utilizando la metodología estándar </w:t>
      </w:r>
      <w:r w:rsidR="004962F2">
        <w:rPr>
          <w:rFonts w:ascii="Verdana" w:hAnsi="Verdana" w:cs="Arial"/>
          <w:bCs/>
          <w:sz w:val="20"/>
          <w:szCs w:val="20"/>
        </w:rPr>
        <w:t xml:space="preserve">que se </w:t>
      </w:r>
      <w:r w:rsidRPr="002B3025">
        <w:rPr>
          <w:rFonts w:ascii="Verdana" w:hAnsi="Verdana" w:cs="Arial"/>
          <w:bCs/>
          <w:sz w:val="20"/>
          <w:szCs w:val="20"/>
        </w:rPr>
        <w:t>señala</w:t>
      </w:r>
      <w:r w:rsidR="004962F2">
        <w:rPr>
          <w:rFonts w:ascii="Verdana" w:hAnsi="Verdana" w:cs="Arial"/>
          <w:bCs/>
          <w:sz w:val="20"/>
          <w:szCs w:val="20"/>
        </w:rPr>
        <w:t xml:space="preserve"> </w:t>
      </w:r>
      <w:r w:rsidRPr="002B3025">
        <w:rPr>
          <w:rFonts w:ascii="Verdana" w:hAnsi="Verdana" w:cs="Arial"/>
          <w:bCs/>
          <w:sz w:val="20"/>
          <w:szCs w:val="20"/>
        </w:rPr>
        <w:t>en</w:t>
      </w:r>
      <w:r w:rsidR="00C05255">
        <w:rPr>
          <w:rFonts w:ascii="Verdana" w:hAnsi="Verdana" w:cs="Arial"/>
          <w:bCs/>
          <w:sz w:val="20"/>
          <w:szCs w:val="20"/>
        </w:rPr>
        <w:t>tre los párrafos 1.1.3.85. y 1.1.3.100. del</w:t>
      </w:r>
      <w:r w:rsidRPr="002B3025">
        <w:rPr>
          <w:rFonts w:ascii="Verdana" w:hAnsi="Verdana" w:cs="Arial"/>
          <w:bCs/>
          <w:sz w:val="20"/>
          <w:szCs w:val="20"/>
        </w:rPr>
        <w:t xml:space="preserve"> presente </w:t>
      </w:r>
      <w:r w:rsidR="00C05255">
        <w:rPr>
          <w:rFonts w:ascii="Verdana" w:hAnsi="Verdana" w:cs="Arial"/>
          <w:bCs/>
          <w:sz w:val="20"/>
          <w:szCs w:val="20"/>
        </w:rPr>
        <w:t>c</w:t>
      </w:r>
      <w:r w:rsidRPr="002B3025">
        <w:rPr>
          <w:rFonts w:ascii="Verdana" w:hAnsi="Verdana" w:cs="Arial"/>
          <w:bCs/>
          <w:sz w:val="20"/>
          <w:szCs w:val="20"/>
        </w:rPr>
        <w:t xml:space="preserve">apítulo. </w:t>
      </w:r>
    </w:p>
    <w:p w14:paraId="60643BC8" w14:textId="223C15F6" w:rsidR="002B3025" w:rsidRPr="003C0BF9" w:rsidRDefault="002B3025" w:rsidP="00551D66">
      <w:pPr>
        <w:pStyle w:val="Prrafodelista"/>
        <w:numPr>
          <w:ilvl w:val="0"/>
          <w:numId w:val="40"/>
        </w:numPr>
        <w:ind w:left="567" w:hanging="283"/>
        <w:rPr>
          <w:rFonts w:ascii="Verdana" w:hAnsi="Verdana" w:cs="Arial"/>
          <w:b/>
          <w:sz w:val="20"/>
          <w:szCs w:val="20"/>
          <w:lang w:val="es-MX"/>
        </w:rPr>
      </w:pPr>
      <w:r w:rsidRPr="003C0BF9">
        <w:rPr>
          <w:rFonts w:ascii="Verdana" w:hAnsi="Verdana" w:cs="Arial"/>
          <w:b/>
          <w:sz w:val="20"/>
          <w:szCs w:val="20"/>
          <w:lang w:val="es-MX"/>
        </w:rPr>
        <w:t>Requisitos para la presentación del modelo interno</w:t>
      </w:r>
    </w:p>
    <w:p w14:paraId="41D6DF23" w14:textId="122CF1E9" w:rsidR="00EF7531" w:rsidRPr="001C6CAB" w:rsidRDefault="00EF7531" w:rsidP="00EF7531">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9E039F">
        <w:rPr>
          <w:rFonts w:ascii="Verdana" w:hAnsi="Verdana"/>
          <w:sz w:val="20"/>
          <w:szCs w:val="20"/>
        </w:rPr>
        <w:t>05</w:t>
      </w:r>
      <w:r w:rsidRPr="001C6CAB">
        <w:rPr>
          <w:rFonts w:ascii="Verdana" w:hAnsi="Verdana"/>
          <w:sz w:val="20"/>
          <w:szCs w:val="20"/>
        </w:rPr>
        <w:t>.</w:t>
      </w:r>
    </w:p>
    <w:p w14:paraId="0A5A5CF2" w14:textId="77777777" w:rsidR="002B3025" w:rsidRPr="002B3025" w:rsidRDefault="002B3025" w:rsidP="00B929BB">
      <w:pPr>
        <w:jc w:val="both"/>
        <w:rPr>
          <w:rFonts w:ascii="Verdana" w:hAnsi="Verdana" w:cs="Arial"/>
          <w:bCs/>
          <w:sz w:val="20"/>
          <w:szCs w:val="20"/>
        </w:rPr>
      </w:pPr>
      <w:r w:rsidRPr="002B3025">
        <w:rPr>
          <w:rFonts w:ascii="Verdana" w:hAnsi="Verdana" w:cs="Arial"/>
          <w:bCs/>
          <w:sz w:val="20"/>
          <w:szCs w:val="20"/>
        </w:rPr>
        <w:t>Para la presentación de los modelos internos a la SFC para su no objeción, la entidad debe adjuntar la siguiente información:</w:t>
      </w:r>
    </w:p>
    <w:p w14:paraId="3E537203" w14:textId="01CBCAEB" w:rsidR="002B3025" w:rsidRPr="002B3025" w:rsidRDefault="002B3025" w:rsidP="00634E67">
      <w:pPr>
        <w:pStyle w:val="Prrafodelista"/>
        <w:numPr>
          <w:ilvl w:val="4"/>
          <w:numId w:val="6"/>
        </w:numPr>
        <w:tabs>
          <w:tab w:val="clear" w:pos="3600"/>
          <w:tab w:val="num" w:pos="567"/>
        </w:tabs>
        <w:spacing w:after="0" w:line="240" w:lineRule="auto"/>
        <w:ind w:left="567" w:hanging="567"/>
        <w:jc w:val="both"/>
        <w:rPr>
          <w:rFonts w:ascii="Verdana" w:hAnsi="Verdana" w:cs="Arial"/>
          <w:sz w:val="20"/>
          <w:szCs w:val="20"/>
        </w:rPr>
      </w:pPr>
      <w:r w:rsidRPr="12B437D6">
        <w:rPr>
          <w:rFonts w:ascii="Verdana" w:hAnsi="Verdana" w:cs="Arial"/>
          <w:sz w:val="20"/>
          <w:szCs w:val="20"/>
        </w:rPr>
        <w:t xml:space="preserve">Una descripción detallada y específica de los modelos de valoración empleados para cada instrumento, en los casos en que la entidad no tome los precios del proveedor de precios para valoración, que incluya las fórmulas empleadas en cada </w:t>
      </w:r>
      <w:r w:rsidRPr="12B437D6">
        <w:rPr>
          <w:rFonts w:ascii="Verdana" w:hAnsi="Verdana" w:cs="Arial"/>
          <w:sz w:val="20"/>
          <w:szCs w:val="20"/>
        </w:rPr>
        <w:lastRenderedPageBreak/>
        <w:t>caso y ejemplos numéricos. Así mismo, debe describir los cambios o adaptaciones que la entidad haya realizado a las metodologías comúnmente empleadas.</w:t>
      </w:r>
    </w:p>
    <w:p w14:paraId="1DD02244" w14:textId="77777777" w:rsidR="005657C3" w:rsidRDefault="005657C3" w:rsidP="005657C3">
      <w:pPr>
        <w:pStyle w:val="Prrafodelista"/>
        <w:tabs>
          <w:tab w:val="num" w:pos="567"/>
        </w:tabs>
        <w:spacing w:after="0" w:line="240" w:lineRule="auto"/>
        <w:ind w:left="567" w:hanging="567"/>
        <w:jc w:val="both"/>
        <w:rPr>
          <w:rFonts w:ascii="Verdana" w:hAnsi="Verdana" w:cs="Arial"/>
          <w:bCs/>
          <w:sz w:val="20"/>
          <w:szCs w:val="20"/>
        </w:rPr>
      </w:pPr>
    </w:p>
    <w:p w14:paraId="7F8BAAAF" w14:textId="793F9F30" w:rsidR="002B3025" w:rsidRPr="002B3025" w:rsidRDefault="002B3025" w:rsidP="00634E67">
      <w:pPr>
        <w:pStyle w:val="Prrafodelista"/>
        <w:numPr>
          <w:ilvl w:val="4"/>
          <w:numId w:val="6"/>
        </w:numPr>
        <w:tabs>
          <w:tab w:val="clear" w:pos="3600"/>
          <w:tab w:val="num" w:pos="567"/>
        </w:tabs>
        <w:spacing w:after="0" w:line="240" w:lineRule="auto"/>
        <w:ind w:left="567" w:hanging="567"/>
        <w:jc w:val="both"/>
        <w:rPr>
          <w:rFonts w:ascii="Verdana" w:hAnsi="Verdana" w:cs="Arial"/>
          <w:bCs/>
          <w:sz w:val="20"/>
          <w:szCs w:val="20"/>
        </w:rPr>
      </w:pPr>
      <w:r w:rsidRPr="002B3025">
        <w:rPr>
          <w:rFonts w:ascii="Verdana" w:hAnsi="Verdana" w:cs="Arial"/>
          <w:bCs/>
          <w:sz w:val="20"/>
          <w:szCs w:val="20"/>
        </w:rPr>
        <w:t xml:space="preserve">Una descripción del modelo empleado para la medición de riesgos, de su base teórica, de los parámetros empleados y de la forma en que el modelo agrega los diferentes factores de riesgo establecidos en el </w:t>
      </w:r>
      <w:r w:rsidR="00236176">
        <w:rPr>
          <w:rFonts w:ascii="Verdana" w:hAnsi="Verdana" w:cs="Arial"/>
          <w:bCs/>
          <w:sz w:val="20"/>
          <w:szCs w:val="20"/>
        </w:rPr>
        <w:t xml:space="preserve">párrafo 1.1.2.83. de la </w:t>
      </w:r>
      <w:r w:rsidR="006317A5">
        <w:rPr>
          <w:rFonts w:ascii="Verdana" w:hAnsi="Verdana" w:cs="Arial"/>
          <w:bCs/>
          <w:sz w:val="20"/>
          <w:szCs w:val="20"/>
        </w:rPr>
        <w:t>CBF</w:t>
      </w:r>
      <w:r w:rsidR="00236176">
        <w:rPr>
          <w:rFonts w:ascii="Verdana" w:hAnsi="Verdana" w:cs="Arial"/>
          <w:bCs/>
          <w:sz w:val="20"/>
          <w:szCs w:val="20"/>
        </w:rPr>
        <w:t>.</w:t>
      </w:r>
    </w:p>
    <w:p w14:paraId="19022759" w14:textId="77777777" w:rsidR="005657C3" w:rsidRDefault="005657C3" w:rsidP="005657C3">
      <w:pPr>
        <w:pStyle w:val="Prrafodelista"/>
        <w:tabs>
          <w:tab w:val="num" w:pos="567"/>
        </w:tabs>
        <w:spacing w:after="0" w:line="240" w:lineRule="auto"/>
        <w:ind w:left="567" w:hanging="567"/>
        <w:jc w:val="both"/>
        <w:rPr>
          <w:rFonts w:ascii="Verdana" w:hAnsi="Verdana" w:cs="Arial"/>
          <w:bCs/>
          <w:sz w:val="20"/>
          <w:szCs w:val="20"/>
        </w:rPr>
      </w:pPr>
    </w:p>
    <w:p w14:paraId="6089A45E" w14:textId="2A159502" w:rsidR="002B3025" w:rsidRPr="002B3025" w:rsidRDefault="002B3025" w:rsidP="00634E67">
      <w:pPr>
        <w:pStyle w:val="Prrafodelista"/>
        <w:numPr>
          <w:ilvl w:val="4"/>
          <w:numId w:val="6"/>
        </w:numPr>
        <w:tabs>
          <w:tab w:val="clear" w:pos="3600"/>
          <w:tab w:val="num" w:pos="567"/>
        </w:tabs>
        <w:spacing w:after="0" w:line="240" w:lineRule="auto"/>
        <w:ind w:left="567" w:hanging="567"/>
        <w:jc w:val="both"/>
        <w:rPr>
          <w:rFonts w:ascii="Verdana" w:hAnsi="Verdana" w:cs="Arial"/>
          <w:bCs/>
          <w:sz w:val="20"/>
          <w:szCs w:val="20"/>
        </w:rPr>
      </w:pPr>
      <w:r w:rsidRPr="002B3025">
        <w:rPr>
          <w:rFonts w:ascii="Verdana" w:hAnsi="Verdana" w:cs="Arial"/>
          <w:bCs/>
          <w:sz w:val="20"/>
          <w:szCs w:val="20"/>
        </w:rPr>
        <w:t>Las series de datos de los valores en riesgo estimados y de los realmente observados para cada factor de riesgo.</w:t>
      </w:r>
    </w:p>
    <w:p w14:paraId="2672696A" w14:textId="77777777" w:rsidR="005657C3" w:rsidRDefault="005657C3" w:rsidP="005657C3">
      <w:pPr>
        <w:pStyle w:val="Prrafodelista"/>
        <w:tabs>
          <w:tab w:val="num" w:pos="567"/>
        </w:tabs>
        <w:spacing w:after="0" w:line="240" w:lineRule="auto"/>
        <w:ind w:left="567" w:hanging="567"/>
        <w:jc w:val="both"/>
        <w:rPr>
          <w:rFonts w:ascii="Verdana" w:hAnsi="Verdana" w:cs="Arial"/>
          <w:bCs/>
          <w:sz w:val="20"/>
          <w:szCs w:val="20"/>
        </w:rPr>
      </w:pPr>
    </w:p>
    <w:p w14:paraId="143981EC" w14:textId="373912B2" w:rsidR="002B3025" w:rsidRDefault="002B3025" w:rsidP="009E039F">
      <w:pPr>
        <w:pStyle w:val="Prrafodelista"/>
        <w:numPr>
          <w:ilvl w:val="4"/>
          <w:numId w:val="6"/>
        </w:numPr>
        <w:tabs>
          <w:tab w:val="clear" w:pos="3600"/>
          <w:tab w:val="num" w:pos="567"/>
        </w:tabs>
        <w:spacing w:after="0" w:line="240" w:lineRule="auto"/>
        <w:ind w:left="567" w:hanging="567"/>
        <w:jc w:val="both"/>
        <w:rPr>
          <w:rFonts w:ascii="Verdana" w:hAnsi="Verdana" w:cs="Arial"/>
          <w:bCs/>
          <w:sz w:val="20"/>
          <w:szCs w:val="20"/>
        </w:rPr>
      </w:pPr>
      <w:r w:rsidRPr="002B3025">
        <w:rPr>
          <w:rFonts w:ascii="Verdana" w:hAnsi="Verdana" w:cs="Arial"/>
          <w:bCs/>
          <w:sz w:val="20"/>
          <w:szCs w:val="20"/>
        </w:rPr>
        <w:t>Los resultados de las pruebas de desempeño realizadas durante los últimos 6 meses.</w:t>
      </w:r>
    </w:p>
    <w:p w14:paraId="3596BF29" w14:textId="77777777" w:rsidR="009E039F" w:rsidRPr="009E039F" w:rsidRDefault="009E039F" w:rsidP="009E039F">
      <w:pPr>
        <w:pStyle w:val="Prrafodelista"/>
        <w:rPr>
          <w:rFonts w:ascii="Verdana" w:hAnsi="Verdana" w:cs="Arial"/>
          <w:bCs/>
          <w:sz w:val="20"/>
          <w:szCs w:val="20"/>
        </w:rPr>
      </w:pPr>
    </w:p>
    <w:p w14:paraId="7D3A0223" w14:textId="77777777" w:rsidR="002B3025" w:rsidRPr="002B3025" w:rsidRDefault="002B3025" w:rsidP="00634E67">
      <w:pPr>
        <w:pStyle w:val="Prrafodelista"/>
        <w:numPr>
          <w:ilvl w:val="4"/>
          <w:numId w:val="6"/>
        </w:numPr>
        <w:tabs>
          <w:tab w:val="clear" w:pos="3600"/>
          <w:tab w:val="num" w:pos="567"/>
        </w:tabs>
        <w:spacing w:after="0" w:line="240" w:lineRule="auto"/>
        <w:ind w:left="567" w:hanging="567"/>
        <w:jc w:val="both"/>
        <w:rPr>
          <w:rFonts w:ascii="Verdana" w:hAnsi="Verdana" w:cs="Arial"/>
          <w:bCs/>
          <w:sz w:val="20"/>
          <w:szCs w:val="20"/>
        </w:rPr>
      </w:pPr>
      <w:r w:rsidRPr="002B3025">
        <w:rPr>
          <w:rFonts w:ascii="Verdana" w:hAnsi="Verdana" w:cs="Arial"/>
          <w:bCs/>
          <w:sz w:val="20"/>
          <w:szCs w:val="20"/>
        </w:rPr>
        <w:t>Información detallada de las personas encargadas de la medición y control de riesgos y de su posición dentro de la organización, incluyendo su formación académica y su experiencia profesional.</w:t>
      </w:r>
    </w:p>
    <w:p w14:paraId="0C1D67D6" w14:textId="77777777" w:rsidR="005657C3" w:rsidRDefault="005657C3" w:rsidP="005657C3">
      <w:pPr>
        <w:pStyle w:val="Prrafodelista"/>
        <w:tabs>
          <w:tab w:val="num" w:pos="567"/>
        </w:tabs>
        <w:spacing w:after="0" w:line="240" w:lineRule="auto"/>
        <w:ind w:left="567" w:hanging="567"/>
        <w:jc w:val="both"/>
        <w:rPr>
          <w:rFonts w:ascii="Verdana" w:hAnsi="Verdana" w:cs="Arial"/>
          <w:bCs/>
          <w:sz w:val="20"/>
          <w:szCs w:val="20"/>
        </w:rPr>
      </w:pPr>
    </w:p>
    <w:p w14:paraId="4AA27A30" w14:textId="7CE5849D" w:rsidR="002B3025" w:rsidRPr="002B3025" w:rsidRDefault="002B3025" w:rsidP="00634E67">
      <w:pPr>
        <w:pStyle w:val="Prrafodelista"/>
        <w:numPr>
          <w:ilvl w:val="4"/>
          <w:numId w:val="6"/>
        </w:numPr>
        <w:tabs>
          <w:tab w:val="clear" w:pos="3600"/>
          <w:tab w:val="num" w:pos="567"/>
        </w:tabs>
        <w:spacing w:after="0" w:line="240" w:lineRule="auto"/>
        <w:ind w:left="567" w:hanging="567"/>
        <w:jc w:val="both"/>
        <w:rPr>
          <w:rFonts w:ascii="Verdana" w:hAnsi="Verdana" w:cs="Arial"/>
          <w:bCs/>
          <w:sz w:val="20"/>
          <w:szCs w:val="20"/>
        </w:rPr>
      </w:pPr>
      <w:r w:rsidRPr="002B3025">
        <w:rPr>
          <w:rFonts w:ascii="Verdana" w:hAnsi="Verdana" w:cs="Arial"/>
          <w:bCs/>
          <w:sz w:val="20"/>
          <w:szCs w:val="20"/>
        </w:rPr>
        <w:t>Una descripción detallada de la estructura de límites y de su cumplimiento durante el último año.</w:t>
      </w:r>
    </w:p>
    <w:p w14:paraId="56366897" w14:textId="77777777" w:rsidR="002B3025" w:rsidRPr="002B3025" w:rsidRDefault="002B3025" w:rsidP="005657C3">
      <w:pPr>
        <w:tabs>
          <w:tab w:val="num" w:pos="567"/>
        </w:tabs>
        <w:ind w:left="567" w:hanging="567"/>
        <w:contextualSpacing/>
        <w:jc w:val="both"/>
        <w:rPr>
          <w:rFonts w:ascii="Verdana" w:hAnsi="Verdana" w:cs="Arial"/>
          <w:bCs/>
          <w:sz w:val="20"/>
          <w:szCs w:val="20"/>
        </w:rPr>
      </w:pPr>
    </w:p>
    <w:p w14:paraId="00574AF1" w14:textId="77777777" w:rsidR="002B3025" w:rsidRPr="002B3025" w:rsidRDefault="002B3025" w:rsidP="00634E67">
      <w:pPr>
        <w:pStyle w:val="Prrafodelista"/>
        <w:numPr>
          <w:ilvl w:val="4"/>
          <w:numId w:val="6"/>
        </w:numPr>
        <w:tabs>
          <w:tab w:val="clear" w:pos="3600"/>
          <w:tab w:val="num" w:pos="567"/>
        </w:tabs>
        <w:spacing w:after="0" w:line="240" w:lineRule="auto"/>
        <w:ind w:left="567" w:hanging="567"/>
        <w:jc w:val="both"/>
        <w:rPr>
          <w:rFonts w:ascii="Verdana" w:hAnsi="Verdana" w:cs="Arial"/>
          <w:bCs/>
          <w:sz w:val="20"/>
          <w:szCs w:val="20"/>
        </w:rPr>
      </w:pPr>
      <w:r w:rsidRPr="002B3025">
        <w:rPr>
          <w:rFonts w:ascii="Verdana" w:hAnsi="Verdana" w:cs="Arial"/>
          <w:bCs/>
          <w:sz w:val="20"/>
          <w:szCs w:val="20"/>
        </w:rPr>
        <w:t>Una descripción de los cambios importantes que a nivel estratégico o estructural se hayan presentado en los 2 años anteriores y de aquellos que se planea introducir durante el año siguiente a la solicitud.</w:t>
      </w:r>
    </w:p>
    <w:p w14:paraId="6A6191ED" w14:textId="77777777" w:rsidR="005657C3" w:rsidRDefault="005657C3" w:rsidP="005657C3">
      <w:pPr>
        <w:pStyle w:val="Prrafodelista"/>
        <w:tabs>
          <w:tab w:val="num" w:pos="567"/>
        </w:tabs>
        <w:spacing w:after="0" w:line="240" w:lineRule="auto"/>
        <w:ind w:left="567" w:hanging="567"/>
        <w:jc w:val="both"/>
        <w:rPr>
          <w:rFonts w:ascii="Verdana" w:hAnsi="Verdana" w:cs="Arial"/>
          <w:bCs/>
          <w:sz w:val="20"/>
          <w:szCs w:val="20"/>
        </w:rPr>
      </w:pPr>
    </w:p>
    <w:p w14:paraId="25A4D49C" w14:textId="30E7EB07" w:rsidR="002B3025" w:rsidRPr="002B3025" w:rsidRDefault="002B3025" w:rsidP="00634E67">
      <w:pPr>
        <w:pStyle w:val="Prrafodelista"/>
        <w:numPr>
          <w:ilvl w:val="4"/>
          <w:numId w:val="6"/>
        </w:numPr>
        <w:tabs>
          <w:tab w:val="clear" w:pos="3600"/>
          <w:tab w:val="num" w:pos="567"/>
        </w:tabs>
        <w:spacing w:after="0" w:line="240" w:lineRule="auto"/>
        <w:ind w:left="567" w:hanging="567"/>
        <w:jc w:val="both"/>
        <w:rPr>
          <w:rFonts w:ascii="Verdana" w:hAnsi="Verdana" w:cs="Arial"/>
          <w:bCs/>
          <w:sz w:val="20"/>
          <w:szCs w:val="20"/>
        </w:rPr>
      </w:pPr>
      <w:r w:rsidRPr="002B3025">
        <w:rPr>
          <w:rFonts w:ascii="Verdana" w:hAnsi="Verdana" w:cs="Arial"/>
          <w:bCs/>
          <w:sz w:val="20"/>
          <w:szCs w:val="20"/>
        </w:rPr>
        <w:t xml:space="preserve">Para calcular el valor en riesgo </w:t>
      </w:r>
      <w:r w:rsidR="00D73D1B">
        <w:rPr>
          <w:rFonts w:ascii="Verdana" w:hAnsi="Verdana" w:cs="Arial"/>
          <w:bCs/>
          <w:sz w:val="20"/>
          <w:szCs w:val="20"/>
        </w:rPr>
        <w:t xml:space="preserve">la entidad </w:t>
      </w:r>
      <w:r w:rsidRPr="002B3025">
        <w:rPr>
          <w:rFonts w:ascii="Verdana" w:hAnsi="Verdana" w:cs="Arial"/>
          <w:bCs/>
          <w:sz w:val="20"/>
          <w:szCs w:val="20"/>
        </w:rPr>
        <w:t>debe utilizar</w:t>
      </w:r>
      <w:r w:rsidR="00D73D1B">
        <w:rPr>
          <w:rFonts w:ascii="Verdana" w:hAnsi="Verdana" w:cs="Arial"/>
          <w:bCs/>
          <w:sz w:val="20"/>
          <w:szCs w:val="20"/>
        </w:rPr>
        <w:t xml:space="preserve"> </w:t>
      </w:r>
      <w:r w:rsidRPr="002B3025">
        <w:rPr>
          <w:rFonts w:ascii="Verdana" w:hAnsi="Verdana" w:cs="Arial"/>
          <w:bCs/>
          <w:sz w:val="20"/>
          <w:szCs w:val="20"/>
        </w:rPr>
        <w:t>un intervalo de confianza de 99% de un extremo de la distribución.</w:t>
      </w:r>
    </w:p>
    <w:p w14:paraId="01C9403B" w14:textId="77777777" w:rsidR="005657C3" w:rsidRDefault="005657C3" w:rsidP="005657C3">
      <w:pPr>
        <w:pStyle w:val="Prrafodelista"/>
        <w:tabs>
          <w:tab w:val="num" w:pos="567"/>
        </w:tabs>
        <w:spacing w:after="0" w:line="240" w:lineRule="auto"/>
        <w:ind w:left="567" w:hanging="567"/>
        <w:jc w:val="both"/>
        <w:rPr>
          <w:rFonts w:ascii="Verdana" w:hAnsi="Verdana" w:cs="Arial"/>
          <w:bCs/>
          <w:sz w:val="20"/>
          <w:szCs w:val="20"/>
        </w:rPr>
      </w:pPr>
    </w:p>
    <w:p w14:paraId="146A449B" w14:textId="59EDFE15" w:rsidR="003C0BF9" w:rsidRDefault="002B3025" w:rsidP="005657C3">
      <w:pPr>
        <w:pStyle w:val="Prrafodelista"/>
        <w:numPr>
          <w:ilvl w:val="4"/>
          <w:numId w:val="6"/>
        </w:numPr>
        <w:tabs>
          <w:tab w:val="clear" w:pos="3600"/>
          <w:tab w:val="num" w:pos="567"/>
        </w:tabs>
        <w:spacing w:after="0" w:line="240" w:lineRule="auto"/>
        <w:ind w:left="567" w:hanging="567"/>
        <w:jc w:val="both"/>
        <w:rPr>
          <w:rFonts w:ascii="Verdana" w:hAnsi="Verdana" w:cs="Arial"/>
          <w:sz w:val="20"/>
          <w:szCs w:val="20"/>
        </w:rPr>
      </w:pPr>
      <w:r w:rsidRPr="12B437D6">
        <w:rPr>
          <w:rFonts w:ascii="Verdana" w:hAnsi="Verdana" w:cs="Arial"/>
          <w:sz w:val="20"/>
          <w:szCs w:val="20"/>
        </w:rPr>
        <w:t xml:space="preserve">El modelo </w:t>
      </w:r>
      <w:r w:rsidR="00AE1066">
        <w:rPr>
          <w:rFonts w:ascii="Verdana" w:hAnsi="Verdana" w:cs="Arial"/>
          <w:sz w:val="20"/>
          <w:szCs w:val="20"/>
        </w:rPr>
        <w:t xml:space="preserve">interno </w:t>
      </w:r>
      <w:r w:rsidRPr="12B437D6">
        <w:rPr>
          <w:rFonts w:ascii="Verdana" w:hAnsi="Verdana" w:cs="Arial"/>
          <w:sz w:val="20"/>
          <w:szCs w:val="20"/>
        </w:rPr>
        <w:t>debe emplear un cambio en los precios para un período de 10 días hábiles de negociación (trading), es decir, el período de tenencia a emplear por los modelos debe ser de mínimo 10 días. Se pueden utilizar valores en riesgo calculados para un periodo de tenencia menor a 10 días, debiendo en todo caso escalarlos por la raíz cuadrada del múltiplo correspondiente. El período de tenencia mínimo a emplear por las entidades de seguros generales será de 20 días hábiles de negociación.</w:t>
      </w:r>
    </w:p>
    <w:p w14:paraId="5C0C8DF0" w14:textId="77777777" w:rsidR="003C0BF9" w:rsidRDefault="003C0BF9" w:rsidP="003C0BF9">
      <w:pPr>
        <w:spacing w:after="0" w:line="240" w:lineRule="auto"/>
        <w:jc w:val="both"/>
        <w:rPr>
          <w:rFonts w:ascii="Verdana" w:hAnsi="Verdana"/>
          <w:sz w:val="20"/>
          <w:szCs w:val="20"/>
        </w:rPr>
      </w:pPr>
    </w:p>
    <w:p w14:paraId="57513437" w14:textId="59092D91" w:rsidR="005657C3" w:rsidRPr="003C0BF9" w:rsidRDefault="005657C3" w:rsidP="003C0BF9">
      <w:pPr>
        <w:spacing w:after="0" w:line="240" w:lineRule="auto"/>
        <w:jc w:val="both"/>
        <w:rPr>
          <w:rFonts w:ascii="Verdana" w:hAnsi="Verdana" w:cs="Arial"/>
          <w:sz w:val="20"/>
          <w:szCs w:val="20"/>
        </w:rPr>
      </w:pPr>
      <w:r w:rsidRPr="003C0BF9">
        <w:rPr>
          <w:rFonts w:ascii="Verdana" w:hAnsi="Verdana"/>
          <w:sz w:val="20"/>
          <w:szCs w:val="20"/>
        </w:rPr>
        <w:t>1.1.3.</w:t>
      </w:r>
      <w:r w:rsidR="009E039F">
        <w:rPr>
          <w:rFonts w:ascii="Verdana" w:hAnsi="Verdana"/>
          <w:sz w:val="20"/>
          <w:szCs w:val="20"/>
        </w:rPr>
        <w:t>106</w:t>
      </w:r>
      <w:r w:rsidRPr="003C0BF9">
        <w:rPr>
          <w:rFonts w:ascii="Verdana" w:hAnsi="Verdana"/>
          <w:sz w:val="20"/>
          <w:szCs w:val="20"/>
        </w:rPr>
        <w:t>.</w:t>
      </w:r>
    </w:p>
    <w:p w14:paraId="7529E38C" w14:textId="40328E53" w:rsidR="002B3025" w:rsidRPr="002B3025" w:rsidRDefault="002B3025" w:rsidP="12B437D6">
      <w:pPr>
        <w:jc w:val="both"/>
        <w:rPr>
          <w:rFonts w:ascii="Verdana" w:hAnsi="Verdana" w:cs="Arial"/>
          <w:sz w:val="20"/>
          <w:szCs w:val="20"/>
        </w:rPr>
      </w:pPr>
      <w:r w:rsidRPr="12B437D6">
        <w:rPr>
          <w:rFonts w:ascii="Verdana" w:hAnsi="Verdana" w:cs="Arial"/>
          <w:sz w:val="20"/>
          <w:szCs w:val="20"/>
        </w:rPr>
        <w:t xml:space="preserve">En caso de no </w:t>
      </w:r>
      <w:r w:rsidRPr="00541D40">
        <w:rPr>
          <w:rFonts w:ascii="Verdana" w:hAnsi="Verdana" w:cs="Arial"/>
          <w:sz w:val="20"/>
          <w:szCs w:val="20"/>
        </w:rPr>
        <w:t xml:space="preserve">ser posible reportar la información mencionada en el literal </w:t>
      </w:r>
      <w:r w:rsidR="00541D40">
        <w:rPr>
          <w:rFonts w:ascii="Verdana" w:hAnsi="Verdana" w:cs="Arial"/>
          <w:sz w:val="20"/>
          <w:szCs w:val="20"/>
        </w:rPr>
        <w:t>(</w:t>
      </w:r>
      <w:r w:rsidRPr="00541D40">
        <w:rPr>
          <w:rFonts w:ascii="Verdana" w:hAnsi="Verdana" w:cs="Arial"/>
          <w:sz w:val="20"/>
          <w:szCs w:val="20"/>
        </w:rPr>
        <w:t>d</w:t>
      </w:r>
      <w:r w:rsidR="00541D40" w:rsidRPr="00541D40">
        <w:rPr>
          <w:rFonts w:ascii="Verdana" w:hAnsi="Verdana" w:cs="Arial"/>
          <w:sz w:val="20"/>
          <w:szCs w:val="20"/>
        </w:rPr>
        <w:t>)</w:t>
      </w:r>
      <w:r w:rsidR="00A120FF" w:rsidRPr="00541D40">
        <w:rPr>
          <w:rFonts w:ascii="Verdana" w:hAnsi="Verdana" w:cs="Arial"/>
          <w:sz w:val="20"/>
          <w:szCs w:val="20"/>
        </w:rPr>
        <w:t xml:space="preserve"> del párrafo 1.1.3.1</w:t>
      </w:r>
      <w:r w:rsidR="00541D40" w:rsidRPr="00541D40">
        <w:rPr>
          <w:rFonts w:ascii="Verdana" w:hAnsi="Verdana" w:cs="Arial"/>
          <w:sz w:val="20"/>
          <w:szCs w:val="20"/>
        </w:rPr>
        <w:t>05</w:t>
      </w:r>
      <w:r w:rsidR="00A120FF" w:rsidRPr="00541D40">
        <w:rPr>
          <w:rFonts w:ascii="Verdana" w:hAnsi="Verdana" w:cs="Arial"/>
          <w:sz w:val="20"/>
          <w:szCs w:val="20"/>
        </w:rPr>
        <w:t>.</w:t>
      </w:r>
      <w:r w:rsidRPr="00541D40">
        <w:rPr>
          <w:rFonts w:ascii="Verdana" w:hAnsi="Verdana" w:cs="Arial"/>
          <w:sz w:val="20"/>
          <w:szCs w:val="20"/>
        </w:rPr>
        <w:t xml:space="preserve"> o cuando la SFC lo considere necesario, se debe realizar un seguimiento a las pruebas de desempeño</w:t>
      </w:r>
      <w:r w:rsidRPr="12B437D6">
        <w:rPr>
          <w:rFonts w:ascii="Verdana" w:hAnsi="Verdana" w:cs="Arial"/>
          <w:sz w:val="20"/>
          <w:szCs w:val="20"/>
        </w:rPr>
        <w:t xml:space="preserve"> por un periodo de 6 meses, durante el cual el modelo no puede ser utilizado para el cálculo de los requerimientos de capital correspondientes a la exposición al riesgo de mercado.</w:t>
      </w:r>
    </w:p>
    <w:p w14:paraId="1FB185B2" w14:textId="12BBF8B1" w:rsidR="006E1E35" w:rsidRPr="001C6CAB" w:rsidRDefault="006E1E35" w:rsidP="006E1E35">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9E039F">
        <w:rPr>
          <w:rFonts w:ascii="Verdana" w:hAnsi="Verdana"/>
          <w:sz w:val="20"/>
          <w:szCs w:val="20"/>
        </w:rPr>
        <w:t>07</w:t>
      </w:r>
      <w:r w:rsidRPr="001C6CAB">
        <w:rPr>
          <w:rFonts w:ascii="Verdana" w:hAnsi="Verdana"/>
          <w:sz w:val="20"/>
          <w:szCs w:val="20"/>
        </w:rPr>
        <w:t>.</w:t>
      </w:r>
    </w:p>
    <w:p w14:paraId="47B0D251" w14:textId="3B186058" w:rsidR="002B3025" w:rsidRPr="002B3025" w:rsidRDefault="002B3025" w:rsidP="00B929BB">
      <w:pPr>
        <w:jc w:val="both"/>
        <w:rPr>
          <w:rFonts w:ascii="Verdana" w:hAnsi="Verdana" w:cs="Arial"/>
          <w:bCs/>
          <w:sz w:val="20"/>
          <w:szCs w:val="20"/>
        </w:rPr>
      </w:pPr>
      <w:r w:rsidRPr="002B3025">
        <w:rPr>
          <w:rFonts w:ascii="Verdana" w:hAnsi="Verdana" w:cs="Arial"/>
          <w:bCs/>
          <w:sz w:val="20"/>
          <w:szCs w:val="20"/>
        </w:rPr>
        <w:t>Adicionalmente los modelos internos deben cumplir con los estándares señalados en</w:t>
      </w:r>
      <w:r w:rsidR="00541D40">
        <w:rPr>
          <w:rFonts w:ascii="Verdana" w:hAnsi="Verdana" w:cs="Arial"/>
          <w:bCs/>
          <w:sz w:val="20"/>
          <w:szCs w:val="20"/>
        </w:rPr>
        <w:t>tre los párrafos 1.1.2.</w:t>
      </w:r>
      <w:r w:rsidR="00882E70">
        <w:rPr>
          <w:rFonts w:ascii="Verdana" w:hAnsi="Verdana" w:cs="Arial"/>
          <w:bCs/>
          <w:sz w:val="20"/>
          <w:szCs w:val="20"/>
        </w:rPr>
        <w:t xml:space="preserve">93. y 1.1.2.98 de la </w:t>
      </w:r>
      <w:r w:rsidR="006317A5">
        <w:rPr>
          <w:rFonts w:ascii="Verdana" w:hAnsi="Verdana" w:cs="Arial"/>
          <w:bCs/>
          <w:sz w:val="20"/>
          <w:szCs w:val="20"/>
        </w:rPr>
        <w:t>CBF</w:t>
      </w:r>
      <w:r w:rsidR="00882E70">
        <w:rPr>
          <w:rFonts w:ascii="Verdana" w:hAnsi="Verdana" w:cs="Arial"/>
          <w:bCs/>
          <w:sz w:val="20"/>
          <w:szCs w:val="20"/>
        </w:rPr>
        <w:t xml:space="preserve"> </w:t>
      </w:r>
      <w:r w:rsidRPr="002B3025">
        <w:rPr>
          <w:rFonts w:ascii="Verdana" w:hAnsi="Verdana" w:cs="Arial"/>
          <w:bCs/>
          <w:sz w:val="20"/>
          <w:szCs w:val="20"/>
        </w:rPr>
        <w:t>para la medición del riesgo de mercado.</w:t>
      </w:r>
    </w:p>
    <w:p w14:paraId="75409009" w14:textId="2562C7B2" w:rsidR="006E1E35" w:rsidRPr="001C6CAB" w:rsidRDefault="006E1E35" w:rsidP="006E1E35">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9E039F">
        <w:rPr>
          <w:rFonts w:ascii="Verdana" w:hAnsi="Verdana"/>
          <w:sz w:val="20"/>
          <w:szCs w:val="20"/>
        </w:rPr>
        <w:t>08</w:t>
      </w:r>
      <w:r w:rsidRPr="001C6CAB">
        <w:rPr>
          <w:rFonts w:ascii="Verdana" w:hAnsi="Verdana"/>
          <w:sz w:val="20"/>
          <w:szCs w:val="20"/>
        </w:rPr>
        <w:t>.</w:t>
      </w:r>
    </w:p>
    <w:p w14:paraId="2CCB5F8A" w14:textId="57A6C89A" w:rsidR="002B3025" w:rsidRPr="002B3025" w:rsidRDefault="002B3025" w:rsidP="00B929BB">
      <w:pPr>
        <w:tabs>
          <w:tab w:val="left" w:pos="0"/>
          <w:tab w:val="left" w:pos="284"/>
        </w:tabs>
        <w:jc w:val="both"/>
        <w:rPr>
          <w:rFonts w:ascii="Verdana" w:hAnsi="Verdana" w:cs="Arial"/>
          <w:bCs/>
          <w:sz w:val="20"/>
          <w:szCs w:val="20"/>
        </w:rPr>
      </w:pPr>
      <w:r w:rsidRPr="002B3025">
        <w:rPr>
          <w:rFonts w:ascii="Verdana" w:hAnsi="Verdana" w:cs="Arial"/>
          <w:bCs/>
          <w:sz w:val="20"/>
          <w:szCs w:val="20"/>
        </w:rPr>
        <w:t xml:space="preserve">Con base en los resultados que arrojen las pruebas señaladas </w:t>
      </w:r>
      <w:r w:rsidR="00882E70" w:rsidRPr="002B3025">
        <w:rPr>
          <w:rFonts w:ascii="Verdana" w:hAnsi="Verdana" w:cs="Arial"/>
          <w:bCs/>
          <w:sz w:val="20"/>
          <w:szCs w:val="20"/>
        </w:rPr>
        <w:t>en</w:t>
      </w:r>
      <w:r w:rsidR="00882E70">
        <w:rPr>
          <w:rFonts w:ascii="Verdana" w:hAnsi="Verdana" w:cs="Arial"/>
          <w:bCs/>
          <w:sz w:val="20"/>
          <w:szCs w:val="20"/>
        </w:rPr>
        <w:t xml:space="preserve">tre los párrafos 1.1.2.93. y 1.1.2.98 de la </w:t>
      </w:r>
      <w:r w:rsidR="006317A5">
        <w:rPr>
          <w:rFonts w:ascii="Verdana" w:hAnsi="Verdana" w:cs="Arial"/>
          <w:bCs/>
          <w:sz w:val="20"/>
          <w:szCs w:val="20"/>
        </w:rPr>
        <w:t>CBF</w:t>
      </w:r>
      <w:r w:rsidR="00882E70" w:rsidRPr="002E4D4F">
        <w:rPr>
          <w:rFonts w:ascii="Verdana" w:hAnsi="Verdana" w:cs="Arial"/>
          <w:bCs/>
          <w:sz w:val="20"/>
          <w:szCs w:val="20"/>
        </w:rPr>
        <w:t>,</w:t>
      </w:r>
      <w:r w:rsidRPr="002E4D4F">
        <w:rPr>
          <w:rFonts w:ascii="Verdana" w:hAnsi="Verdana" w:cs="Arial"/>
          <w:bCs/>
          <w:sz w:val="20"/>
          <w:szCs w:val="20"/>
        </w:rPr>
        <w:t xml:space="preserve"> la SFC podrá aumentar el</w:t>
      </w:r>
      <w:r w:rsidRPr="002B3025">
        <w:rPr>
          <w:rFonts w:ascii="Verdana" w:hAnsi="Verdana" w:cs="Arial"/>
          <w:bCs/>
          <w:sz w:val="20"/>
          <w:szCs w:val="20"/>
        </w:rPr>
        <w:t xml:space="preserve"> factor multiplicativo al que</w:t>
      </w:r>
      <w:r w:rsidR="002E4D4F">
        <w:rPr>
          <w:rFonts w:ascii="Verdana" w:hAnsi="Verdana" w:cs="Arial"/>
          <w:bCs/>
          <w:sz w:val="20"/>
          <w:szCs w:val="20"/>
        </w:rPr>
        <w:t xml:space="preserve"> se</w:t>
      </w:r>
      <w:r w:rsidRPr="002B3025">
        <w:rPr>
          <w:rFonts w:ascii="Verdana" w:hAnsi="Verdana" w:cs="Arial"/>
          <w:bCs/>
          <w:sz w:val="20"/>
          <w:szCs w:val="20"/>
        </w:rPr>
        <w:t xml:space="preserve"> hace referencia</w:t>
      </w:r>
      <w:r w:rsidR="00B52D69">
        <w:rPr>
          <w:rFonts w:ascii="Verdana" w:hAnsi="Verdana" w:cs="Arial"/>
          <w:bCs/>
          <w:sz w:val="20"/>
          <w:szCs w:val="20"/>
        </w:rPr>
        <w:t xml:space="preserve"> </w:t>
      </w:r>
      <w:r w:rsidR="002E4D4F">
        <w:rPr>
          <w:rFonts w:ascii="Verdana" w:hAnsi="Verdana" w:cs="Arial"/>
          <w:bCs/>
          <w:sz w:val="20"/>
          <w:szCs w:val="20"/>
        </w:rPr>
        <w:t>entre los párrafos 1.1.3.110. y 1.1.3.117.</w:t>
      </w:r>
      <w:r w:rsidR="00460F51">
        <w:rPr>
          <w:rFonts w:ascii="Verdana" w:hAnsi="Verdana" w:cs="Arial"/>
          <w:bCs/>
          <w:sz w:val="20"/>
          <w:szCs w:val="20"/>
        </w:rPr>
        <w:t>,</w:t>
      </w:r>
      <w:r w:rsidRPr="002B3025">
        <w:rPr>
          <w:rFonts w:ascii="Verdana" w:hAnsi="Verdana" w:cs="Arial"/>
          <w:bCs/>
          <w:sz w:val="20"/>
          <w:szCs w:val="20"/>
        </w:rPr>
        <w:t xml:space="preserve"> usado para calcular el requerimiento de capital con un factor de ajuste que corrija las debilidades encontradas, de modo que los resultados reflejen razonablemente el valor en riesgo de la entidad.</w:t>
      </w:r>
    </w:p>
    <w:p w14:paraId="72AF0A18" w14:textId="28D48947" w:rsidR="006E1E35" w:rsidRPr="001C6CAB" w:rsidRDefault="006E1E35" w:rsidP="006E1E35">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9E039F">
        <w:rPr>
          <w:rFonts w:ascii="Verdana" w:hAnsi="Verdana"/>
          <w:sz w:val="20"/>
          <w:szCs w:val="20"/>
        </w:rPr>
        <w:t>09</w:t>
      </w:r>
      <w:r w:rsidRPr="001C6CAB">
        <w:rPr>
          <w:rFonts w:ascii="Verdana" w:hAnsi="Verdana"/>
          <w:sz w:val="20"/>
          <w:szCs w:val="20"/>
        </w:rPr>
        <w:t>.</w:t>
      </w:r>
    </w:p>
    <w:p w14:paraId="1F5245A0" w14:textId="77777777" w:rsidR="002B3025" w:rsidRPr="002B3025" w:rsidRDefault="002B3025" w:rsidP="00B929BB">
      <w:pPr>
        <w:jc w:val="both"/>
        <w:rPr>
          <w:rFonts w:ascii="Verdana" w:hAnsi="Verdana" w:cs="Arial"/>
          <w:bCs/>
          <w:sz w:val="20"/>
          <w:szCs w:val="20"/>
        </w:rPr>
      </w:pPr>
      <w:r w:rsidRPr="002B3025">
        <w:rPr>
          <w:rFonts w:ascii="Verdana" w:hAnsi="Verdana" w:cs="Arial"/>
          <w:bCs/>
          <w:sz w:val="20"/>
          <w:szCs w:val="20"/>
        </w:rPr>
        <w:t>La SFC podrá requerir a la entidad que esté aplicando un modelo interno, para que utilice el modelo estándar para la medición del riesgo de mercado, en los siguientes casos:</w:t>
      </w:r>
    </w:p>
    <w:p w14:paraId="4E88D143" w14:textId="5888D425" w:rsidR="006E1E35" w:rsidRDefault="002B3025" w:rsidP="006E1E35">
      <w:pPr>
        <w:pStyle w:val="Prrafodelista"/>
        <w:numPr>
          <w:ilvl w:val="0"/>
          <w:numId w:val="17"/>
        </w:numPr>
        <w:tabs>
          <w:tab w:val="num" w:pos="567"/>
        </w:tabs>
        <w:spacing w:after="0" w:line="240" w:lineRule="auto"/>
        <w:ind w:left="567" w:hanging="567"/>
        <w:jc w:val="both"/>
        <w:rPr>
          <w:rFonts w:ascii="Verdana" w:hAnsi="Verdana" w:cs="Arial"/>
          <w:bCs/>
          <w:sz w:val="20"/>
          <w:szCs w:val="20"/>
        </w:rPr>
      </w:pPr>
      <w:r w:rsidRPr="007E1DB3">
        <w:rPr>
          <w:rFonts w:ascii="Verdana" w:hAnsi="Verdana" w:cs="Arial"/>
          <w:bCs/>
          <w:sz w:val="20"/>
          <w:szCs w:val="20"/>
        </w:rPr>
        <w:t>Cuando el modelo interno para la medición de riesgo de mercado no cumpla con las condiciones estipuladas en</w:t>
      </w:r>
      <w:r w:rsidR="007E1DB3" w:rsidRPr="007E1DB3">
        <w:rPr>
          <w:rFonts w:ascii="Verdana" w:hAnsi="Verdana" w:cs="Arial"/>
          <w:bCs/>
          <w:sz w:val="20"/>
          <w:szCs w:val="20"/>
        </w:rPr>
        <w:t>tre los</w:t>
      </w:r>
      <w:r w:rsidR="007E1DB3">
        <w:rPr>
          <w:rFonts w:ascii="Verdana" w:hAnsi="Verdana" w:cs="Arial"/>
          <w:bCs/>
          <w:sz w:val="20"/>
          <w:szCs w:val="20"/>
        </w:rPr>
        <w:t xml:space="preserve"> párrafos 1.1.3.101. y 1.1.3.117. </w:t>
      </w:r>
    </w:p>
    <w:p w14:paraId="5F0488D8" w14:textId="77777777" w:rsidR="007E1DB3" w:rsidRPr="007E1DB3" w:rsidRDefault="007E1DB3" w:rsidP="007E1DB3">
      <w:pPr>
        <w:pStyle w:val="Prrafodelista"/>
        <w:tabs>
          <w:tab w:val="num" w:pos="567"/>
        </w:tabs>
        <w:spacing w:after="0" w:line="240" w:lineRule="auto"/>
        <w:ind w:left="567"/>
        <w:jc w:val="both"/>
        <w:rPr>
          <w:rFonts w:ascii="Verdana" w:hAnsi="Verdana" w:cs="Arial"/>
          <w:bCs/>
          <w:sz w:val="20"/>
          <w:szCs w:val="20"/>
        </w:rPr>
      </w:pPr>
    </w:p>
    <w:p w14:paraId="016DB5AB" w14:textId="77777777" w:rsidR="003C0BF9" w:rsidRDefault="002B3025" w:rsidP="00B929BB">
      <w:pPr>
        <w:pStyle w:val="Prrafodelista"/>
        <w:numPr>
          <w:ilvl w:val="0"/>
          <w:numId w:val="17"/>
        </w:numPr>
        <w:tabs>
          <w:tab w:val="num" w:pos="567"/>
        </w:tabs>
        <w:spacing w:after="0" w:line="240" w:lineRule="auto"/>
        <w:ind w:left="567" w:hanging="567"/>
        <w:jc w:val="both"/>
        <w:rPr>
          <w:rFonts w:ascii="Verdana" w:hAnsi="Verdana" w:cs="Arial"/>
          <w:bCs/>
          <w:sz w:val="20"/>
          <w:szCs w:val="20"/>
        </w:rPr>
      </w:pPr>
      <w:r w:rsidRPr="006E1E35">
        <w:rPr>
          <w:rFonts w:ascii="Verdana" w:hAnsi="Verdana" w:cs="Arial"/>
          <w:bCs/>
          <w:sz w:val="20"/>
          <w:szCs w:val="20"/>
        </w:rPr>
        <w:t>Cuando el modelo no permita una adecuada medición del riesgo de mercado al que se expone la respectiva entidad.</w:t>
      </w:r>
    </w:p>
    <w:p w14:paraId="5670B625" w14:textId="77777777" w:rsidR="003C0BF9" w:rsidRDefault="003C0BF9" w:rsidP="003C0BF9">
      <w:pPr>
        <w:spacing w:after="0" w:line="240" w:lineRule="auto"/>
        <w:jc w:val="both"/>
        <w:rPr>
          <w:rFonts w:ascii="Verdana" w:hAnsi="Verdana" w:cs="Arial"/>
          <w:b/>
          <w:sz w:val="20"/>
          <w:szCs w:val="20"/>
        </w:rPr>
      </w:pPr>
    </w:p>
    <w:p w14:paraId="2458F7E6" w14:textId="233C2C00" w:rsidR="002B3025" w:rsidRPr="003C0BF9" w:rsidRDefault="002B3025" w:rsidP="00551D66">
      <w:pPr>
        <w:pStyle w:val="Prrafodelista"/>
        <w:numPr>
          <w:ilvl w:val="0"/>
          <w:numId w:val="40"/>
        </w:numPr>
        <w:spacing w:after="0" w:line="240" w:lineRule="auto"/>
        <w:ind w:left="567" w:hanging="283"/>
        <w:jc w:val="both"/>
        <w:rPr>
          <w:rFonts w:ascii="Verdana" w:hAnsi="Verdana" w:cs="Arial"/>
          <w:bCs/>
          <w:sz w:val="20"/>
          <w:szCs w:val="20"/>
        </w:rPr>
      </w:pPr>
      <w:r w:rsidRPr="003C0BF9">
        <w:rPr>
          <w:rFonts w:ascii="Verdana" w:hAnsi="Verdana" w:cs="Arial"/>
          <w:b/>
          <w:sz w:val="20"/>
          <w:szCs w:val="20"/>
        </w:rPr>
        <w:lastRenderedPageBreak/>
        <w:t>Cálculo de la exposición total al riesgo de mercado con los modelos internos</w:t>
      </w:r>
    </w:p>
    <w:p w14:paraId="6284088E" w14:textId="77777777" w:rsidR="00C60907" w:rsidRDefault="00C60907" w:rsidP="00B50EAA">
      <w:pPr>
        <w:spacing w:after="0"/>
        <w:rPr>
          <w:rFonts w:ascii="Verdana" w:hAnsi="Verdana"/>
          <w:sz w:val="20"/>
          <w:szCs w:val="20"/>
        </w:rPr>
      </w:pPr>
    </w:p>
    <w:p w14:paraId="2BB411F4" w14:textId="1C96A5AB" w:rsidR="00B50EAA" w:rsidRPr="001C6CAB" w:rsidRDefault="00B50EAA" w:rsidP="00B50EAA">
      <w:pPr>
        <w:spacing w:after="0"/>
        <w:rPr>
          <w:rFonts w:ascii="Verdana" w:hAnsi="Verdana"/>
          <w:sz w:val="20"/>
          <w:szCs w:val="20"/>
        </w:rPr>
      </w:pPr>
      <w:r w:rsidRPr="001C6CAB">
        <w:rPr>
          <w:rFonts w:ascii="Verdana" w:hAnsi="Verdana"/>
          <w:sz w:val="20"/>
          <w:szCs w:val="20"/>
        </w:rPr>
        <w:t>1.1.3.</w:t>
      </w:r>
      <w:r>
        <w:rPr>
          <w:rFonts w:ascii="Verdana" w:hAnsi="Verdana"/>
          <w:sz w:val="20"/>
          <w:szCs w:val="20"/>
        </w:rPr>
        <w:t>11</w:t>
      </w:r>
      <w:r w:rsidR="009E039F">
        <w:rPr>
          <w:rFonts w:ascii="Verdana" w:hAnsi="Verdana"/>
          <w:sz w:val="20"/>
          <w:szCs w:val="20"/>
        </w:rPr>
        <w:t>0</w:t>
      </w:r>
      <w:r w:rsidRPr="001C6CAB">
        <w:rPr>
          <w:rFonts w:ascii="Verdana" w:hAnsi="Verdana"/>
          <w:sz w:val="20"/>
          <w:szCs w:val="20"/>
        </w:rPr>
        <w:t>.</w:t>
      </w:r>
    </w:p>
    <w:p w14:paraId="01707CE9" w14:textId="77777777" w:rsidR="002B3025" w:rsidRPr="00B50EAA" w:rsidRDefault="002B3025" w:rsidP="00B50EAA">
      <w:pPr>
        <w:tabs>
          <w:tab w:val="num" w:pos="284"/>
        </w:tabs>
        <w:spacing w:after="0" w:line="240" w:lineRule="auto"/>
        <w:jc w:val="both"/>
        <w:rPr>
          <w:rFonts w:ascii="Verdana" w:hAnsi="Verdana" w:cs="Arial"/>
          <w:bCs/>
          <w:sz w:val="20"/>
          <w:szCs w:val="20"/>
        </w:rPr>
      </w:pPr>
      <w:r w:rsidRPr="00B50EAA">
        <w:rPr>
          <w:rFonts w:ascii="Verdana" w:hAnsi="Verdana" w:cs="Arial"/>
          <w:bCs/>
          <w:sz w:val="20"/>
          <w:szCs w:val="20"/>
        </w:rPr>
        <w:t>Si el modelo interno utilizado cubre, como mínimo, la totalidad de los módulos contemplados en el modelo estándar, el valor en riesgo calculado diariamente por la entidad corresponde al monto obtenido de la estimación del modelo interno.</w:t>
      </w:r>
    </w:p>
    <w:p w14:paraId="5374B9C8" w14:textId="77777777" w:rsidR="002B3025" w:rsidRPr="002B3025" w:rsidRDefault="002B3025" w:rsidP="00B50EAA">
      <w:pPr>
        <w:contextualSpacing/>
        <w:jc w:val="both"/>
        <w:rPr>
          <w:rFonts w:ascii="Verdana" w:hAnsi="Verdana" w:cs="Arial"/>
          <w:bCs/>
          <w:sz w:val="20"/>
          <w:szCs w:val="20"/>
        </w:rPr>
      </w:pPr>
    </w:p>
    <w:p w14:paraId="2B55D911" w14:textId="6CD97A7E" w:rsidR="00B50EAA" w:rsidRPr="001C6CAB" w:rsidRDefault="00B50EAA" w:rsidP="00B50EAA">
      <w:pPr>
        <w:spacing w:after="0"/>
        <w:rPr>
          <w:rFonts w:ascii="Verdana" w:hAnsi="Verdana"/>
          <w:sz w:val="20"/>
          <w:szCs w:val="20"/>
        </w:rPr>
      </w:pPr>
      <w:r w:rsidRPr="001C6CAB">
        <w:rPr>
          <w:rFonts w:ascii="Verdana" w:hAnsi="Verdana"/>
          <w:sz w:val="20"/>
          <w:szCs w:val="20"/>
        </w:rPr>
        <w:t>1.1.3.</w:t>
      </w:r>
      <w:r>
        <w:rPr>
          <w:rFonts w:ascii="Verdana" w:hAnsi="Verdana"/>
          <w:sz w:val="20"/>
          <w:szCs w:val="20"/>
        </w:rPr>
        <w:t>11</w:t>
      </w:r>
      <w:r w:rsidR="009E039F">
        <w:rPr>
          <w:rFonts w:ascii="Verdana" w:hAnsi="Verdana"/>
          <w:sz w:val="20"/>
          <w:szCs w:val="20"/>
        </w:rPr>
        <w:t>1</w:t>
      </w:r>
      <w:r w:rsidRPr="001C6CAB">
        <w:rPr>
          <w:rFonts w:ascii="Verdana" w:hAnsi="Verdana"/>
          <w:sz w:val="20"/>
          <w:szCs w:val="20"/>
        </w:rPr>
        <w:t>.</w:t>
      </w:r>
    </w:p>
    <w:p w14:paraId="4007FDE8" w14:textId="56713168" w:rsidR="002B3025" w:rsidRPr="00B50EAA" w:rsidRDefault="002B3025" w:rsidP="00B50EAA">
      <w:pPr>
        <w:tabs>
          <w:tab w:val="left" w:pos="709"/>
        </w:tabs>
        <w:spacing w:after="0" w:line="240" w:lineRule="auto"/>
        <w:jc w:val="both"/>
        <w:rPr>
          <w:rFonts w:ascii="Verdana" w:hAnsi="Verdana" w:cs="Arial"/>
          <w:bCs/>
          <w:sz w:val="20"/>
          <w:szCs w:val="20"/>
        </w:rPr>
      </w:pPr>
      <w:r w:rsidRPr="00B50EAA">
        <w:rPr>
          <w:rFonts w:ascii="Verdana" w:hAnsi="Verdana" w:cs="Arial"/>
          <w:bCs/>
          <w:sz w:val="20"/>
          <w:szCs w:val="20"/>
        </w:rPr>
        <w:t>Si se utiliza una combinación de los modelos internos y la metodología estándar, el valor en riesgo calculado diariamente por la entidad corresponde a la suma del monto obtenido de la estimación del modelo interno y los cargos correspondientes a los módulos cubiertos con la metodología estándar.</w:t>
      </w:r>
    </w:p>
    <w:p w14:paraId="0F370EA1" w14:textId="77777777" w:rsidR="00E14F4B" w:rsidRDefault="00E14F4B" w:rsidP="00B50EAA">
      <w:pPr>
        <w:spacing w:after="0"/>
        <w:rPr>
          <w:rFonts w:ascii="Verdana" w:hAnsi="Verdana"/>
          <w:sz w:val="20"/>
          <w:szCs w:val="20"/>
        </w:rPr>
      </w:pPr>
    </w:p>
    <w:p w14:paraId="6B3B8BA2" w14:textId="3D058F4F" w:rsidR="00B50EAA" w:rsidRPr="001C6CAB" w:rsidRDefault="00B50EAA" w:rsidP="00B50EAA">
      <w:pPr>
        <w:spacing w:after="0"/>
        <w:rPr>
          <w:rFonts w:ascii="Verdana" w:hAnsi="Verdana"/>
          <w:sz w:val="20"/>
          <w:szCs w:val="20"/>
        </w:rPr>
      </w:pPr>
      <w:r w:rsidRPr="001C6CAB">
        <w:rPr>
          <w:rFonts w:ascii="Verdana" w:hAnsi="Verdana"/>
          <w:sz w:val="20"/>
          <w:szCs w:val="20"/>
        </w:rPr>
        <w:t>1.1.3.</w:t>
      </w:r>
      <w:r>
        <w:rPr>
          <w:rFonts w:ascii="Verdana" w:hAnsi="Verdana"/>
          <w:sz w:val="20"/>
          <w:szCs w:val="20"/>
        </w:rPr>
        <w:t>11</w:t>
      </w:r>
      <w:r w:rsidR="009E039F">
        <w:rPr>
          <w:rFonts w:ascii="Verdana" w:hAnsi="Verdana"/>
          <w:sz w:val="20"/>
          <w:szCs w:val="20"/>
        </w:rPr>
        <w:t>2</w:t>
      </w:r>
      <w:r w:rsidRPr="001C6CAB">
        <w:rPr>
          <w:rFonts w:ascii="Verdana" w:hAnsi="Verdana"/>
          <w:sz w:val="20"/>
          <w:szCs w:val="20"/>
        </w:rPr>
        <w:t>.</w:t>
      </w:r>
    </w:p>
    <w:p w14:paraId="7AEF0CCB" w14:textId="77777777" w:rsidR="002B3025" w:rsidRPr="002B3025" w:rsidRDefault="002B3025" w:rsidP="00B929BB">
      <w:pPr>
        <w:tabs>
          <w:tab w:val="left" w:pos="709"/>
        </w:tabs>
        <w:jc w:val="both"/>
        <w:rPr>
          <w:rFonts w:ascii="Verdana" w:hAnsi="Verdana" w:cs="Arial"/>
          <w:bCs/>
          <w:sz w:val="20"/>
          <w:szCs w:val="20"/>
        </w:rPr>
      </w:pPr>
      <w:r w:rsidRPr="002B3025">
        <w:rPr>
          <w:rFonts w:ascii="Verdana" w:hAnsi="Verdana" w:cs="Arial"/>
          <w:bCs/>
          <w:sz w:val="20"/>
          <w:szCs w:val="20"/>
        </w:rPr>
        <w:t xml:space="preserve">Para efectos del cálculo de las relaciones de solvencia de acuerdo con lo estipulado en </w:t>
      </w:r>
      <w:r w:rsidRPr="009F61C5">
        <w:rPr>
          <w:rFonts w:ascii="Verdana" w:hAnsi="Verdana" w:cs="Arial"/>
          <w:bCs/>
          <w:sz w:val="20"/>
          <w:szCs w:val="20"/>
        </w:rPr>
        <w:t>los artículos 2.1.1.1.2, 2.1.1.1.3., 2.9.1.1.2 y 2.31.1.2.5 del Decreto 2555 de 2010 o</w:t>
      </w:r>
      <w:r w:rsidRPr="002B3025">
        <w:rPr>
          <w:rFonts w:ascii="Verdana" w:hAnsi="Verdana" w:cs="Arial"/>
          <w:bCs/>
          <w:sz w:val="20"/>
          <w:szCs w:val="20"/>
        </w:rPr>
        <w:t xml:space="preserve"> demás normas que los sustituyan, modifiquen o subroguen, según corresponda, la entidad debe utilizar el mayor valor entre:</w:t>
      </w:r>
    </w:p>
    <w:p w14:paraId="6176C63F" w14:textId="77777777" w:rsidR="002B3025" w:rsidRDefault="002B3025" w:rsidP="00634E67">
      <w:pPr>
        <w:pStyle w:val="Prrafodelista"/>
        <w:numPr>
          <w:ilvl w:val="0"/>
          <w:numId w:val="18"/>
        </w:numPr>
        <w:spacing w:after="0" w:line="240" w:lineRule="auto"/>
        <w:ind w:left="567" w:hanging="567"/>
        <w:jc w:val="both"/>
        <w:rPr>
          <w:rFonts w:ascii="Verdana" w:hAnsi="Verdana" w:cs="Arial"/>
          <w:bCs/>
          <w:sz w:val="20"/>
          <w:szCs w:val="20"/>
        </w:rPr>
      </w:pPr>
      <w:r w:rsidRPr="00B50EAA">
        <w:rPr>
          <w:rFonts w:ascii="Verdana" w:hAnsi="Verdana" w:cs="Arial"/>
          <w:bCs/>
          <w:sz w:val="20"/>
          <w:szCs w:val="20"/>
        </w:rPr>
        <w:t>El valor en riesgo calculado para el día anterior.</w:t>
      </w:r>
    </w:p>
    <w:p w14:paraId="573AEF09" w14:textId="77777777" w:rsidR="00B50EAA" w:rsidRPr="00B50EAA" w:rsidRDefault="00B50EAA" w:rsidP="006373AB">
      <w:pPr>
        <w:pStyle w:val="Prrafodelista"/>
        <w:spacing w:after="0" w:line="240" w:lineRule="auto"/>
        <w:ind w:left="567"/>
        <w:jc w:val="both"/>
        <w:rPr>
          <w:rFonts w:ascii="Verdana" w:hAnsi="Verdana" w:cs="Arial"/>
          <w:bCs/>
          <w:sz w:val="20"/>
          <w:szCs w:val="20"/>
        </w:rPr>
      </w:pPr>
    </w:p>
    <w:p w14:paraId="34B24674" w14:textId="75A78030" w:rsidR="002B3025" w:rsidRPr="00B50EAA" w:rsidRDefault="002B3025" w:rsidP="00634E67">
      <w:pPr>
        <w:pStyle w:val="Prrafodelista"/>
        <w:numPr>
          <w:ilvl w:val="0"/>
          <w:numId w:val="18"/>
        </w:numPr>
        <w:tabs>
          <w:tab w:val="num" w:pos="567"/>
        </w:tabs>
        <w:spacing w:after="0" w:line="240" w:lineRule="auto"/>
        <w:ind w:left="567" w:hanging="567"/>
        <w:jc w:val="both"/>
        <w:rPr>
          <w:rFonts w:ascii="Verdana" w:hAnsi="Verdana" w:cs="Arial"/>
          <w:bCs/>
          <w:sz w:val="20"/>
          <w:szCs w:val="20"/>
        </w:rPr>
      </w:pPr>
      <w:r w:rsidRPr="00B50EAA">
        <w:rPr>
          <w:rFonts w:ascii="Verdana" w:hAnsi="Verdana" w:cs="Arial"/>
          <w:bCs/>
          <w:sz w:val="20"/>
          <w:szCs w:val="20"/>
        </w:rPr>
        <w:t>El promedio de los valores en riesgo calculados para los 60 días hábiles anteriores. Para efectos del cálculo de este promedio, el valor en riesgo correspondiente a los módulos estimados a través de modelos internos debe ser ajustado por el factor multiplicativo correspondiente.</w:t>
      </w:r>
    </w:p>
    <w:p w14:paraId="4902D8F8" w14:textId="77777777" w:rsidR="00257A8D" w:rsidRDefault="00257A8D" w:rsidP="006373AB">
      <w:pPr>
        <w:spacing w:after="0"/>
        <w:rPr>
          <w:rFonts w:ascii="Verdana" w:hAnsi="Verdana" w:cs="Arial"/>
          <w:bCs/>
          <w:sz w:val="20"/>
          <w:szCs w:val="20"/>
        </w:rPr>
      </w:pPr>
    </w:p>
    <w:p w14:paraId="3B621E57" w14:textId="7CA7B620" w:rsidR="006373AB" w:rsidRPr="001C6CAB" w:rsidRDefault="006373AB" w:rsidP="006373AB">
      <w:pPr>
        <w:spacing w:after="0"/>
        <w:rPr>
          <w:rFonts w:ascii="Verdana" w:hAnsi="Verdana"/>
          <w:sz w:val="20"/>
          <w:szCs w:val="20"/>
        </w:rPr>
      </w:pPr>
      <w:r w:rsidRPr="001C6CAB">
        <w:rPr>
          <w:rFonts w:ascii="Verdana" w:hAnsi="Verdana"/>
          <w:sz w:val="20"/>
          <w:szCs w:val="20"/>
        </w:rPr>
        <w:t>1.1.3.</w:t>
      </w:r>
      <w:r>
        <w:rPr>
          <w:rFonts w:ascii="Verdana" w:hAnsi="Verdana"/>
          <w:sz w:val="20"/>
          <w:szCs w:val="20"/>
        </w:rPr>
        <w:t>11</w:t>
      </w:r>
      <w:r w:rsidR="009E039F">
        <w:rPr>
          <w:rFonts w:ascii="Verdana" w:hAnsi="Verdana"/>
          <w:sz w:val="20"/>
          <w:szCs w:val="20"/>
        </w:rPr>
        <w:t>3</w:t>
      </w:r>
      <w:r w:rsidRPr="001C6CAB">
        <w:rPr>
          <w:rFonts w:ascii="Verdana" w:hAnsi="Verdana"/>
          <w:sz w:val="20"/>
          <w:szCs w:val="20"/>
        </w:rPr>
        <w:t>.</w:t>
      </w:r>
    </w:p>
    <w:p w14:paraId="2A1DEDC7" w14:textId="164BF330" w:rsidR="002B3025" w:rsidRPr="002B3025" w:rsidRDefault="002B3025" w:rsidP="00B929BB">
      <w:pPr>
        <w:tabs>
          <w:tab w:val="left" w:pos="709"/>
        </w:tabs>
        <w:jc w:val="both"/>
        <w:rPr>
          <w:rFonts w:ascii="Verdana" w:hAnsi="Verdana" w:cs="Arial"/>
          <w:bCs/>
          <w:sz w:val="20"/>
          <w:szCs w:val="20"/>
        </w:rPr>
      </w:pPr>
      <w:r w:rsidRPr="002B3025">
        <w:rPr>
          <w:rFonts w:ascii="Verdana" w:hAnsi="Verdana" w:cs="Arial"/>
          <w:bCs/>
          <w:sz w:val="20"/>
          <w:szCs w:val="20"/>
        </w:rPr>
        <w:t xml:space="preserve">El </w:t>
      </w:r>
      <w:r w:rsidRPr="007E1DB3">
        <w:rPr>
          <w:rFonts w:ascii="Verdana" w:hAnsi="Verdana" w:cs="Arial"/>
          <w:bCs/>
          <w:sz w:val="20"/>
          <w:szCs w:val="20"/>
        </w:rPr>
        <w:t xml:space="preserve">factor multiplicativo aplicable al literal </w:t>
      </w:r>
      <w:r w:rsidR="007E1DB3">
        <w:rPr>
          <w:rFonts w:ascii="Verdana" w:hAnsi="Verdana" w:cs="Arial"/>
          <w:bCs/>
          <w:sz w:val="20"/>
          <w:szCs w:val="20"/>
        </w:rPr>
        <w:t>(</w:t>
      </w:r>
      <w:r w:rsidRPr="007E1DB3">
        <w:rPr>
          <w:rFonts w:ascii="Verdana" w:hAnsi="Verdana" w:cs="Arial"/>
          <w:bCs/>
          <w:sz w:val="20"/>
          <w:szCs w:val="20"/>
        </w:rPr>
        <w:t>b</w:t>
      </w:r>
      <w:r w:rsidR="007E1DB3">
        <w:rPr>
          <w:rFonts w:ascii="Verdana" w:hAnsi="Verdana" w:cs="Arial"/>
          <w:bCs/>
          <w:sz w:val="20"/>
          <w:szCs w:val="20"/>
        </w:rPr>
        <w:t>)</w:t>
      </w:r>
      <w:r w:rsidRPr="007E1DB3">
        <w:rPr>
          <w:rFonts w:ascii="Verdana" w:hAnsi="Verdana" w:cs="Arial"/>
          <w:bCs/>
          <w:sz w:val="20"/>
          <w:szCs w:val="20"/>
        </w:rPr>
        <w:t xml:space="preserve"> </w:t>
      </w:r>
      <w:r w:rsidR="00090D95" w:rsidRPr="007E1DB3">
        <w:rPr>
          <w:rFonts w:ascii="Verdana" w:hAnsi="Verdana" w:cs="Arial"/>
          <w:bCs/>
          <w:sz w:val="20"/>
          <w:szCs w:val="20"/>
        </w:rPr>
        <w:t>del párrafo 1.1.3.11</w:t>
      </w:r>
      <w:r w:rsidR="007E1DB3" w:rsidRPr="007E1DB3">
        <w:rPr>
          <w:rFonts w:ascii="Verdana" w:hAnsi="Verdana" w:cs="Arial"/>
          <w:bCs/>
          <w:sz w:val="20"/>
          <w:szCs w:val="20"/>
        </w:rPr>
        <w:t>2.</w:t>
      </w:r>
      <w:r w:rsidR="00090D95" w:rsidRPr="007E1DB3">
        <w:rPr>
          <w:rFonts w:ascii="Verdana" w:hAnsi="Verdana" w:cs="Arial"/>
          <w:bCs/>
          <w:sz w:val="20"/>
          <w:szCs w:val="20"/>
        </w:rPr>
        <w:t xml:space="preserve"> </w:t>
      </w:r>
      <w:r w:rsidRPr="007E1DB3">
        <w:rPr>
          <w:rFonts w:ascii="Verdana" w:hAnsi="Verdana" w:cs="Arial"/>
          <w:bCs/>
          <w:sz w:val="20"/>
          <w:szCs w:val="20"/>
        </w:rPr>
        <w:t>es igual a 3. En</w:t>
      </w:r>
      <w:r w:rsidRPr="002B3025">
        <w:rPr>
          <w:rFonts w:ascii="Verdana" w:hAnsi="Verdana" w:cs="Arial"/>
          <w:bCs/>
          <w:sz w:val="20"/>
          <w:szCs w:val="20"/>
        </w:rPr>
        <w:t xml:space="preserve"> todo caso la SFC podrá aumentar dicho factor hasta un máximo de 4 de acuerdo con la evaluación que realice de la calidad de la gestión de riesgos financieros y de los resultados obtenidos de las pruebas de desempeño del modelo interno aplicado por la entidad.</w:t>
      </w:r>
    </w:p>
    <w:p w14:paraId="6CE6AD26" w14:textId="46D658D6" w:rsidR="006373AB" w:rsidRPr="001C6CAB" w:rsidRDefault="006373AB" w:rsidP="006373AB">
      <w:pPr>
        <w:spacing w:after="0"/>
        <w:rPr>
          <w:rFonts w:ascii="Verdana" w:hAnsi="Verdana"/>
          <w:sz w:val="20"/>
          <w:szCs w:val="20"/>
        </w:rPr>
      </w:pPr>
      <w:r w:rsidRPr="001C6CAB">
        <w:rPr>
          <w:rFonts w:ascii="Verdana" w:hAnsi="Verdana"/>
          <w:sz w:val="20"/>
          <w:szCs w:val="20"/>
        </w:rPr>
        <w:t>1.1.3.</w:t>
      </w:r>
      <w:r>
        <w:rPr>
          <w:rFonts w:ascii="Verdana" w:hAnsi="Verdana"/>
          <w:sz w:val="20"/>
          <w:szCs w:val="20"/>
        </w:rPr>
        <w:t>11</w:t>
      </w:r>
      <w:r w:rsidR="009E039F">
        <w:rPr>
          <w:rFonts w:ascii="Verdana" w:hAnsi="Verdana"/>
          <w:sz w:val="20"/>
          <w:szCs w:val="20"/>
        </w:rPr>
        <w:t>4</w:t>
      </w:r>
      <w:r w:rsidRPr="001C6CAB">
        <w:rPr>
          <w:rFonts w:ascii="Verdana" w:hAnsi="Verdana"/>
          <w:sz w:val="20"/>
          <w:szCs w:val="20"/>
        </w:rPr>
        <w:t>.</w:t>
      </w:r>
    </w:p>
    <w:p w14:paraId="4B395F08" w14:textId="77777777" w:rsidR="002B3025" w:rsidRDefault="002B3025" w:rsidP="00B929BB">
      <w:pPr>
        <w:tabs>
          <w:tab w:val="left" w:pos="709"/>
        </w:tabs>
        <w:jc w:val="both"/>
        <w:rPr>
          <w:rFonts w:ascii="Verdana" w:hAnsi="Verdana" w:cs="Arial"/>
          <w:bCs/>
          <w:sz w:val="20"/>
          <w:szCs w:val="20"/>
        </w:rPr>
      </w:pPr>
      <w:r w:rsidRPr="002B3025">
        <w:rPr>
          <w:rFonts w:ascii="Verdana" w:hAnsi="Verdana" w:cs="Arial"/>
          <w:bCs/>
          <w:sz w:val="20"/>
          <w:szCs w:val="20"/>
        </w:rPr>
        <w:t>El aumento en el factor multiplicativo es función del resultado de las pruebas de desempeño del modelo durante los últimos 250 días hábiles (un año de observaciones):</w:t>
      </w:r>
    </w:p>
    <w:p w14:paraId="5C122747" w14:textId="77777777" w:rsidR="00097AE3" w:rsidRPr="00FE39A5" w:rsidRDefault="00097AE3" w:rsidP="00B929BB">
      <w:pPr>
        <w:tabs>
          <w:tab w:val="left" w:pos="709"/>
        </w:tabs>
        <w:jc w:val="both"/>
        <w:rPr>
          <w:rFonts w:ascii="Verdana" w:hAnsi="Verdana" w:cs="Arial"/>
          <w:bCs/>
          <w:sz w:val="16"/>
          <w:szCs w:val="16"/>
        </w:rPr>
      </w:pPr>
    </w:p>
    <w:tbl>
      <w:tblPr>
        <w:tblStyle w:val="Tablaconcuadrcula"/>
        <w:tblW w:w="0" w:type="auto"/>
        <w:jc w:val="center"/>
        <w:tblLook w:val="04A0" w:firstRow="1" w:lastRow="0" w:firstColumn="1" w:lastColumn="0" w:noHBand="0" w:noVBand="1"/>
      </w:tblPr>
      <w:tblGrid>
        <w:gridCol w:w="1275"/>
        <w:gridCol w:w="2014"/>
        <w:gridCol w:w="2126"/>
      </w:tblGrid>
      <w:tr w:rsidR="002E3760" w:rsidRPr="002B3025" w14:paraId="52A57271" w14:textId="77777777" w:rsidTr="00624F3C">
        <w:trPr>
          <w:jc w:val="center"/>
        </w:trPr>
        <w:tc>
          <w:tcPr>
            <w:tcW w:w="1275" w:type="dxa"/>
            <w:shd w:val="clear" w:color="auto" w:fill="D1D1D1" w:themeFill="background2" w:themeFillShade="E6"/>
          </w:tcPr>
          <w:p w14:paraId="7EF2D917" w14:textId="77777777" w:rsidR="002B3025" w:rsidRPr="00C60907" w:rsidRDefault="002B3025" w:rsidP="00B929BB">
            <w:pPr>
              <w:tabs>
                <w:tab w:val="left" w:pos="709"/>
              </w:tabs>
              <w:jc w:val="center"/>
              <w:rPr>
                <w:rFonts w:ascii="Verdana" w:hAnsi="Verdana" w:cs="Arial"/>
                <w:b/>
                <w:sz w:val="16"/>
                <w:szCs w:val="16"/>
              </w:rPr>
            </w:pPr>
          </w:p>
          <w:p w14:paraId="457F3341" w14:textId="77777777" w:rsidR="002B3025" w:rsidRPr="00C60907" w:rsidRDefault="002B3025" w:rsidP="00B929BB">
            <w:pPr>
              <w:tabs>
                <w:tab w:val="left" w:pos="709"/>
              </w:tabs>
              <w:jc w:val="center"/>
              <w:rPr>
                <w:rFonts w:ascii="Verdana" w:hAnsi="Verdana" w:cs="Arial"/>
                <w:b/>
                <w:sz w:val="16"/>
                <w:szCs w:val="16"/>
              </w:rPr>
            </w:pPr>
            <w:r w:rsidRPr="00C60907">
              <w:rPr>
                <w:rFonts w:ascii="Verdana" w:hAnsi="Verdana" w:cs="Arial"/>
                <w:b/>
                <w:sz w:val="16"/>
                <w:szCs w:val="16"/>
              </w:rPr>
              <w:t>Zona</w:t>
            </w:r>
          </w:p>
        </w:tc>
        <w:tc>
          <w:tcPr>
            <w:tcW w:w="2014" w:type="dxa"/>
            <w:shd w:val="clear" w:color="auto" w:fill="D1D1D1" w:themeFill="background2" w:themeFillShade="E6"/>
          </w:tcPr>
          <w:p w14:paraId="3BDE0DAB" w14:textId="77777777" w:rsidR="002B3025" w:rsidRPr="00C60907" w:rsidRDefault="002B3025" w:rsidP="00B929BB">
            <w:pPr>
              <w:tabs>
                <w:tab w:val="left" w:pos="709"/>
              </w:tabs>
              <w:jc w:val="center"/>
              <w:rPr>
                <w:rFonts w:ascii="Verdana" w:hAnsi="Verdana" w:cs="Arial"/>
                <w:b/>
                <w:sz w:val="16"/>
                <w:szCs w:val="16"/>
              </w:rPr>
            </w:pPr>
            <w:r w:rsidRPr="00C60907">
              <w:rPr>
                <w:rFonts w:ascii="Verdana" w:hAnsi="Verdana" w:cs="Arial"/>
                <w:b/>
                <w:sz w:val="16"/>
                <w:szCs w:val="16"/>
              </w:rPr>
              <w:t>Número de excepciones</w:t>
            </w:r>
          </w:p>
        </w:tc>
        <w:tc>
          <w:tcPr>
            <w:tcW w:w="2126" w:type="dxa"/>
            <w:shd w:val="clear" w:color="auto" w:fill="D1D1D1" w:themeFill="background2" w:themeFillShade="E6"/>
          </w:tcPr>
          <w:p w14:paraId="50BF36C8" w14:textId="77777777" w:rsidR="002B3025" w:rsidRPr="00C60907" w:rsidRDefault="002B3025" w:rsidP="00B929BB">
            <w:pPr>
              <w:tabs>
                <w:tab w:val="left" w:pos="709"/>
              </w:tabs>
              <w:jc w:val="center"/>
              <w:rPr>
                <w:rFonts w:ascii="Verdana" w:hAnsi="Verdana" w:cs="Arial"/>
                <w:b/>
                <w:sz w:val="16"/>
                <w:szCs w:val="16"/>
              </w:rPr>
            </w:pPr>
            <w:r w:rsidRPr="00C60907">
              <w:rPr>
                <w:rFonts w:ascii="Verdana" w:hAnsi="Verdana" w:cs="Arial"/>
                <w:b/>
                <w:sz w:val="16"/>
                <w:szCs w:val="16"/>
              </w:rPr>
              <w:t>Incremento en el factor multiplicativo</w:t>
            </w:r>
          </w:p>
        </w:tc>
      </w:tr>
      <w:tr w:rsidR="002B3025" w:rsidRPr="002B3025" w14:paraId="0D5E1F21" w14:textId="77777777" w:rsidTr="00624F3C">
        <w:trPr>
          <w:jc w:val="center"/>
        </w:trPr>
        <w:tc>
          <w:tcPr>
            <w:tcW w:w="1275" w:type="dxa"/>
          </w:tcPr>
          <w:p w14:paraId="30244673" w14:textId="77777777" w:rsidR="002B3025" w:rsidRPr="00C60907" w:rsidRDefault="002B3025" w:rsidP="00B929BB">
            <w:pPr>
              <w:tabs>
                <w:tab w:val="left" w:pos="709"/>
              </w:tabs>
              <w:jc w:val="center"/>
              <w:rPr>
                <w:rFonts w:ascii="Verdana" w:hAnsi="Verdana" w:cs="Arial"/>
                <w:bCs/>
                <w:sz w:val="16"/>
                <w:szCs w:val="16"/>
              </w:rPr>
            </w:pPr>
            <w:r w:rsidRPr="00C60907">
              <w:rPr>
                <w:rFonts w:ascii="Verdana" w:hAnsi="Verdana" w:cs="Arial"/>
                <w:bCs/>
                <w:sz w:val="16"/>
                <w:szCs w:val="16"/>
              </w:rPr>
              <w:t>Verde</w:t>
            </w:r>
          </w:p>
        </w:tc>
        <w:tc>
          <w:tcPr>
            <w:tcW w:w="2014" w:type="dxa"/>
          </w:tcPr>
          <w:p w14:paraId="7AAF64BE" w14:textId="77777777" w:rsidR="002B3025" w:rsidRPr="00C60907" w:rsidRDefault="002B3025" w:rsidP="00B929BB">
            <w:pPr>
              <w:tabs>
                <w:tab w:val="left" w:pos="709"/>
              </w:tabs>
              <w:jc w:val="center"/>
              <w:rPr>
                <w:rFonts w:ascii="Verdana" w:hAnsi="Verdana" w:cs="Arial"/>
                <w:bCs/>
                <w:sz w:val="16"/>
                <w:szCs w:val="16"/>
              </w:rPr>
            </w:pPr>
            <w:r w:rsidRPr="00C60907">
              <w:rPr>
                <w:rFonts w:ascii="Verdana" w:hAnsi="Verdana" w:cs="Arial"/>
                <w:bCs/>
                <w:sz w:val="16"/>
                <w:szCs w:val="16"/>
              </w:rPr>
              <w:t>0 a 4</w:t>
            </w:r>
          </w:p>
        </w:tc>
        <w:tc>
          <w:tcPr>
            <w:tcW w:w="2126" w:type="dxa"/>
          </w:tcPr>
          <w:p w14:paraId="35B8CB5A" w14:textId="77777777" w:rsidR="002B3025" w:rsidRPr="00C60907" w:rsidRDefault="002B3025" w:rsidP="00B929BB">
            <w:pPr>
              <w:tabs>
                <w:tab w:val="left" w:pos="709"/>
              </w:tabs>
              <w:jc w:val="center"/>
              <w:rPr>
                <w:rFonts w:ascii="Verdana" w:hAnsi="Verdana" w:cs="Arial"/>
                <w:bCs/>
                <w:sz w:val="16"/>
                <w:szCs w:val="16"/>
              </w:rPr>
            </w:pPr>
            <w:r w:rsidRPr="00C60907">
              <w:rPr>
                <w:rFonts w:ascii="Verdana" w:hAnsi="Verdana" w:cs="Arial"/>
                <w:bCs/>
                <w:sz w:val="16"/>
                <w:szCs w:val="16"/>
              </w:rPr>
              <w:t>0</w:t>
            </w:r>
          </w:p>
        </w:tc>
      </w:tr>
      <w:tr w:rsidR="002B3025" w:rsidRPr="002B3025" w14:paraId="555BD699" w14:textId="77777777" w:rsidTr="00624F3C">
        <w:trPr>
          <w:jc w:val="center"/>
        </w:trPr>
        <w:tc>
          <w:tcPr>
            <w:tcW w:w="1275" w:type="dxa"/>
            <w:vMerge w:val="restart"/>
          </w:tcPr>
          <w:p w14:paraId="6EDCE9E3" w14:textId="77777777" w:rsidR="002B3025" w:rsidRPr="00C60907" w:rsidRDefault="002B3025" w:rsidP="00B929BB">
            <w:pPr>
              <w:tabs>
                <w:tab w:val="left" w:pos="709"/>
              </w:tabs>
              <w:jc w:val="center"/>
              <w:outlineLvl w:val="0"/>
              <w:rPr>
                <w:rFonts w:ascii="Verdana" w:hAnsi="Verdana" w:cs="Arial"/>
                <w:bCs/>
                <w:sz w:val="16"/>
                <w:szCs w:val="16"/>
              </w:rPr>
            </w:pPr>
          </w:p>
          <w:p w14:paraId="2C058C72" w14:textId="77777777" w:rsidR="002B3025" w:rsidRPr="00C60907" w:rsidRDefault="002B3025" w:rsidP="00B929BB">
            <w:pPr>
              <w:tabs>
                <w:tab w:val="left" w:pos="709"/>
              </w:tabs>
              <w:jc w:val="center"/>
              <w:outlineLvl w:val="0"/>
              <w:rPr>
                <w:rFonts w:ascii="Verdana" w:hAnsi="Verdana" w:cs="Arial"/>
                <w:bCs/>
                <w:sz w:val="16"/>
                <w:szCs w:val="16"/>
              </w:rPr>
            </w:pPr>
          </w:p>
          <w:p w14:paraId="6BE9C94D" w14:textId="77777777" w:rsidR="002B3025" w:rsidRPr="00C60907" w:rsidRDefault="002B3025" w:rsidP="00B929BB">
            <w:pPr>
              <w:tabs>
                <w:tab w:val="left" w:pos="709"/>
              </w:tabs>
              <w:jc w:val="center"/>
              <w:outlineLvl w:val="0"/>
              <w:rPr>
                <w:rFonts w:ascii="Verdana" w:hAnsi="Verdana" w:cs="Arial"/>
                <w:bCs/>
                <w:sz w:val="16"/>
                <w:szCs w:val="16"/>
              </w:rPr>
            </w:pPr>
            <w:r w:rsidRPr="00C60907">
              <w:rPr>
                <w:rFonts w:ascii="Verdana" w:hAnsi="Verdana" w:cs="Arial"/>
                <w:bCs/>
                <w:sz w:val="16"/>
                <w:szCs w:val="16"/>
              </w:rPr>
              <w:t>Amarillo</w:t>
            </w:r>
          </w:p>
        </w:tc>
        <w:tc>
          <w:tcPr>
            <w:tcW w:w="2014" w:type="dxa"/>
          </w:tcPr>
          <w:p w14:paraId="02DC91A7" w14:textId="77777777" w:rsidR="002B3025" w:rsidRPr="00C60907" w:rsidRDefault="002B3025" w:rsidP="00B929BB">
            <w:pPr>
              <w:tabs>
                <w:tab w:val="left" w:pos="709"/>
              </w:tabs>
              <w:jc w:val="center"/>
              <w:rPr>
                <w:rFonts w:ascii="Verdana" w:hAnsi="Verdana" w:cs="Arial"/>
                <w:bCs/>
                <w:sz w:val="16"/>
                <w:szCs w:val="16"/>
              </w:rPr>
            </w:pPr>
            <w:r w:rsidRPr="00C60907">
              <w:rPr>
                <w:rFonts w:ascii="Verdana" w:hAnsi="Verdana" w:cs="Arial"/>
                <w:bCs/>
                <w:sz w:val="16"/>
                <w:szCs w:val="16"/>
              </w:rPr>
              <w:t>5</w:t>
            </w:r>
          </w:p>
        </w:tc>
        <w:tc>
          <w:tcPr>
            <w:tcW w:w="2126" w:type="dxa"/>
          </w:tcPr>
          <w:p w14:paraId="62CC5EC0" w14:textId="77777777" w:rsidR="002B3025" w:rsidRPr="00C60907" w:rsidRDefault="002B3025" w:rsidP="00B929BB">
            <w:pPr>
              <w:tabs>
                <w:tab w:val="left" w:pos="709"/>
              </w:tabs>
              <w:jc w:val="center"/>
              <w:rPr>
                <w:rFonts w:ascii="Verdana" w:hAnsi="Verdana" w:cs="Arial"/>
                <w:bCs/>
                <w:sz w:val="16"/>
                <w:szCs w:val="16"/>
              </w:rPr>
            </w:pPr>
            <w:r w:rsidRPr="00C60907">
              <w:rPr>
                <w:rFonts w:ascii="Verdana" w:hAnsi="Verdana" w:cs="Arial"/>
                <w:bCs/>
                <w:sz w:val="16"/>
                <w:szCs w:val="16"/>
              </w:rPr>
              <w:t>0,40</w:t>
            </w:r>
          </w:p>
        </w:tc>
      </w:tr>
      <w:tr w:rsidR="002B3025" w:rsidRPr="002B3025" w14:paraId="384386FD" w14:textId="77777777" w:rsidTr="00624F3C">
        <w:trPr>
          <w:jc w:val="center"/>
        </w:trPr>
        <w:tc>
          <w:tcPr>
            <w:tcW w:w="1275" w:type="dxa"/>
            <w:vMerge/>
          </w:tcPr>
          <w:p w14:paraId="3F449D2C" w14:textId="77777777" w:rsidR="002B3025" w:rsidRPr="00C60907" w:rsidRDefault="002B3025" w:rsidP="00B929BB">
            <w:pPr>
              <w:tabs>
                <w:tab w:val="left" w:pos="709"/>
              </w:tabs>
              <w:jc w:val="center"/>
              <w:rPr>
                <w:rFonts w:ascii="Verdana" w:hAnsi="Verdana" w:cs="Arial"/>
                <w:bCs/>
                <w:sz w:val="16"/>
                <w:szCs w:val="16"/>
              </w:rPr>
            </w:pPr>
          </w:p>
        </w:tc>
        <w:tc>
          <w:tcPr>
            <w:tcW w:w="2014" w:type="dxa"/>
          </w:tcPr>
          <w:p w14:paraId="464E88E9" w14:textId="77777777" w:rsidR="002B3025" w:rsidRPr="00C60907" w:rsidRDefault="002B3025" w:rsidP="00B929BB">
            <w:pPr>
              <w:tabs>
                <w:tab w:val="left" w:pos="709"/>
              </w:tabs>
              <w:jc w:val="center"/>
              <w:rPr>
                <w:rFonts w:ascii="Verdana" w:hAnsi="Verdana" w:cs="Arial"/>
                <w:bCs/>
                <w:sz w:val="16"/>
                <w:szCs w:val="16"/>
              </w:rPr>
            </w:pPr>
            <w:r w:rsidRPr="00C60907">
              <w:rPr>
                <w:rFonts w:ascii="Verdana" w:hAnsi="Verdana" w:cs="Arial"/>
                <w:bCs/>
                <w:sz w:val="16"/>
                <w:szCs w:val="16"/>
              </w:rPr>
              <w:t>6</w:t>
            </w:r>
          </w:p>
        </w:tc>
        <w:tc>
          <w:tcPr>
            <w:tcW w:w="2126" w:type="dxa"/>
          </w:tcPr>
          <w:p w14:paraId="4DE72A03" w14:textId="77777777" w:rsidR="002B3025" w:rsidRPr="00C60907" w:rsidRDefault="002B3025" w:rsidP="00B929BB">
            <w:pPr>
              <w:tabs>
                <w:tab w:val="left" w:pos="709"/>
              </w:tabs>
              <w:jc w:val="center"/>
              <w:rPr>
                <w:rFonts w:ascii="Verdana" w:hAnsi="Verdana" w:cs="Arial"/>
                <w:bCs/>
                <w:sz w:val="16"/>
                <w:szCs w:val="16"/>
              </w:rPr>
            </w:pPr>
            <w:r w:rsidRPr="00C60907">
              <w:rPr>
                <w:rFonts w:ascii="Verdana" w:hAnsi="Verdana" w:cs="Arial"/>
                <w:bCs/>
                <w:sz w:val="16"/>
                <w:szCs w:val="16"/>
              </w:rPr>
              <w:t>0,50</w:t>
            </w:r>
          </w:p>
        </w:tc>
      </w:tr>
      <w:tr w:rsidR="002B3025" w:rsidRPr="002B3025" w14:paraId="242493E4" w14:textId="77777777" w:rsidTr="00624F3C">
        <w:trPr>
          <w:jc w:val="center"/>
        </w:trPr>
        <w:tc>
          <w:tcPr>
            <w:tcW w:w="1275" w:type="dxa"/>
            <w:vMerge/>
          </w:tcPr>
          <w:p w14:paraId="119E5FD8" w14:textId="77777777" w:rsidR="002B3025" w:rsidRPr="00C60907" w:rsidRDefault="002B3025" w:rsidP="00B929BB">
            <w:pPr>
              <w:tabs>
                <w:tab w:val="left" w:pos="709"/>
              </w:tabs>
              <w:jc w:val="center"/>
              <w:rPr>
                <w:rFonts w:ascii="Verdana" w:hAnsi="Verdana" w:cs="Arial"/>
                <w:bCs/>
                <w:sz w:val="16"/>
                <w:szCs w:val="16"/>
              </w:rPr>
            </w:pPr>
          </w:p>
        </w:tc>
        <w:tc>
          <w:tcPr>
            <w:tcW w:w="2014" w:type="dxa"/>
          </w:tcPr>
          <w:p w14:paraId="03CFA356" w14:textId="77777777" w:rsidR="002B3025" w:rsidRPr="00C60907" w:rsidRDefault="002B3025" w:rsidP="00B929BB">
            <w:pPr>
              <w:tabs>
                <w:tab w:val="left" w:pos="709"/>
              </w:tabs>
              <w:jc w:val="center"/>
              <w:rPr>
                <w:rFonts w:ascii="Verdana" w:hAnsi="Verdana" w:cs="Arial"/>
                <w:bCs/>
                <w:sz w:val="16"/>
                <w:szCs w:val="16"/>
              </w:rPr>
            </w:pPr>
            <w:r w:rsidRPr="00C60907">
              <w:rPr>
                <w:rFonts w:ascii="Verdana" w:hAnsi="Verdana" w:cs="Arial"/>
                <w:bCs/>
                <w:sz w:val="16"/>
                <w:szCs w:val="16"/>
              </w:rPr>
              <w:t>7</w:t>
            </w:r>
          </w:p>
        </w:tc>
        <w:tc>
          <w:tcPr>
            <w:tcW w:w="2126" w:type="dxa"/>
          </w:tcPr>
          <w:p w14:paraId="4FB9C0C1" w14:textId="77777777" w:rsidR="002B3025" w:rsidRPr="00C60907" w:rsidRDefault="002B3025" w:rsidP="00B929BB">
            <w:pPr>
              <w:tabs>
                <w:tab w:val="left" w:pos="709"/>
              </w:tabs>
              <w:jc w:val="center"/>
              <w:rPr>
                <w:rFonts w:ascii="Verdana" w:hAnsi="Verdana" w:cs="Arial"/>
                <w:bCs/>
                <w:sz w:val="16"/>
                <w:szCs w:val="16"/>
              </w:rPr>
            </w:pPr>
            <w:r w:rsidRPr="00C60907">
              <w:rPr>
                <w:rFonts w:ascii="Verdana" w:hAnsi="Verdana" w:cs="Arial"/>
                <w:bCs/>
                <w:sz w:val="16"/>
                <w:szCs w:val="16"/>
              </w:rPr>
              <w:t>0,65</w:t>
            </w:r>
          </w:p>
        </w:tc>
      </w:tr>
      <w:tr w:rsidR="002B3025" w:rsidRPr="002B3025" w14:paraId="3D675189" w14:textId="77777777" w:rsidTr="00624F3C">
        <w:trPr>
          <w:jc w:val="center"/>
        </w:trPr>
        <w:tc>
          <w:tcPr>
            <w:tcW w:w="1275" w:type="dxa"/>
            <w:vMerge/>
          </w:tcPr>
          <w:p w14:paraId="2A4A5B42" w14:textId="77777777" w:rsidR="002B3025" w:rsidRPr="00C60907" w:rsidRDefault="002B3025" w:rsidP="00B929BB">
            <w:pPr>
              <w:tabs>
                <w:tab w:val="left" w:pos="709"/>
              </w:tabs>
              <w:jc w:val="center"/>
              <w:rPr>
                <w:rFonts w:ascii="Verdana" w:hAnsi="Verdana" w:cs="Arial"/>
                <w:bCs/>
                <w:sz w:val="16"/>
                <w:szCs w:val="16"/>
              </w:rPr>
            </w:pPr>
          </w:p>
        </w:tc>
        <w:tc>
          <w:tcPr>
            <w:tcW w:w="2014" w:type="dxa"/>
          </w:tcPr>
          <w:p w14:paraId="019BCD1F" w14:textId="77777777" w:rsidR="002B3025" w:rsidRPr="00C60907" w:rsidRDefault="002B3025" w:rsidP="00B929BB">
            <w:pPr>
              <w:tabs>
                <w:tab w:val="left" w:pos="709"/>
              </w:tabs>
              <w:jc w:val="center"/>
              <w:rPr>
                <w:rFonts w:ascii="Verdana" w:hAnsi="Verdana" w:cs="Arial"/>
                <w:bCs/>
                <w:sz w:val="16"/>
                <w:szCs w:val="16"/>
              </w:rPr>
            </w:pPr>
            <w:r w:rsidRPr="00C60907">
              <w:rPr>
                <w:rFonts w:ascii="Verdana" w:hAnsi="Verdana" w:cs="Arial"/>
                <w:bCs/>
                <w:sz w:val="16"/>
                <w:szCs w:val="16"/>
              </w:rPr>
              <w:t>8</w:t>
            </w:r>
          </w:p>
        </w:tc>
        <w:tc>
          <w:tcPr>
            <w:tcW w:w="2126" w:type="dxa"/>
          </w:tcPr>
          <w:p w14:paraId="5118BF14" w14:textId="77777777" w:rsidR="002B3025" w:rsidRPr="00C60907" w:rsidRDefault="002B3025" w:rsidP="00B929BB">
            <w:pPr>
              <w:tabs>
                <w:tab w:val="left" w:pos="709"/>
              </w:tabs>
              <w:jc w:val="center"/>
              <w:rPr>
                <w:rFonts w:ascii="Verdana" w:hAnsi="Verdana" w:cs="Arial"/>
                <w:bCs/>
                <w:sz w:val="16"/>
                <w:szCs w:val="16"/>
              </w:rPr>
            </w:pPr>
            <w:r w:rsidRPr="00C60907">
              <w:rPr>
                <w:rFonts w:ascii="Verdana" w:hAnsi="Verdana" w:cs="Arial"/>
                <w:bCs/>
                <w:sz w:val="16"/>
                <w:szCs w:val="16"/>
              </w:rPr>
              <w:t>0,75</w:t>
            </w:r>
          </w:p>
        </w:tc>
      </w:tr>
      <w:tr w:rsidR="002B3025" w:rsidRPr="002B3025" w14:paraId="43F7C84C" w14:textId="77777777" w:rsidTr="00624F3C">
        <w:trPr>
          <w:jc w:val="center"/>
        </w:trPr>
        <w:tc>
          <w:tcPr>
            <w:tcW w:w="1275" w:type="dxa"/>
            <w:vMerge/>
          </w:tcPr>
          <w:p w14:paraId="3FAFCFF5" w14:textId="77777777" w:rsidR="002B3025" w:rsidRPr="00C60907" w:rsidRDefault="002B3025" w:rsidP="00B929BB">
            <w:pPr>
              <w:tabs>
                <w:tab w:val="left" w:pos="709"/>
              </w:tabs>
              <w:jc w:val="center"/>
              <w:rPr>
                <w:rFonts w:ascii="Verdana" w:hAnsi="Verdana" w:cs="Arial"/>
                <w:bCs/>
                <w:sz w:val="16"/>
                <w:szCs w:val="16"/>
              </w:rPr>
            </w:pPr>
          </w:p>
        </w:tc>
        <w:tc>
          <w:tcPr>
            <w:tcW w:w="2014" w:type="dxa"/>
          </w:tcPr>
          <w:p w14:paraId="56C9C604" w14:textId="77777777" w:rsidR="002B3025" w:rsidRPr="00C60907" w:rsidRDefault="002B3025" w:rsidP="00B929BB">
            <w:pPr>
              <w:tabs>
                <w:tab w:val="left" w:pos="709"/>
              </w:tabs>
              <w:jc w:val="center"/>
              <w:rPr>
                <w:rFonts w:ascii="Verdana" w:hAnsi="Verdana" w:cs="Arial"/>
                <w:bCs/>
                <w:sz w:val="16"/>
                <w:szCs w:val="16"/>
              </w:rPr>
            </w:pPr>
            <w:r w:rsidRPr="00C60907">
              <w:rPr>
                <w:rFonts w:ascii="Verdana" w:hAnsi="Verdana" w:cs="Arial"/>
                <w:bCs/>
                <w:sz w:val="16"/>
                <w:szCs w:val="16"/>
              </w:rPr>
              <w:t>9</w:t>
            </w:r>
          </w:p>
        </w:tc>
        <w:tc>
          <w:tcPr>
            <w:tcW w:w="2126" w:type="dxa"/>
          </w:tcPr>
          <w:p w14:paraId="15BE6365" w14:textId="77777777" w:rsidR="002B3025" w:rsidRPr="00C60907" w:rsidRDefault="002B3025" w:rsidP="00B929BB">
            <w:pPr>
              <w:tabs>
                <w:tab w:val="left" w:pos="709"/>
              </w:tabs>
              <w:jc w:val="center"/>
              <w:rPr>
                <w:rFonts w:ascii="Verdana" w:hAnsi="Verdana" w:cs="Arial"/>
                <w:bCs/>
                <w:sz w:val="16"/>
                <w:szCs w:val="16"/>
              </w:rPr>
            </w:pPr>
            <w:r w:rsidRPr="00C60907">
              <w:rPr>
                <w:rFonts w:ascii="Verdana" w:hAnsi="Verdana" w:cs="Arial"/>
                <w:bCs/>
                <w:sz w:val="16"/>
                <w:szCs w:val="16"/>
              </w:rPr>
              <w:t>0,85</w:t>
            </w:r>
          </w:p>
        </w:tc>
      </w:tr>
      <w:tr w:rsidR="002B3025" w:rsidRPr="002B3025" w14:paraId="65386CD1" w14:textId="77777777" w:rsidTr="00624F3C">
        <w:trPr>
          <w:jc w:val="center"/>
        </w:trPr>
        <w:tc>
          <w:tcPr>
            <w:tcW w:w="1275" w:type="dxa"/>
          </w:tcPr>
          <w:p w14:paraId="13CBE4B4" w14:textId="77777777" w:rsidR="002B3025" w:rsidRPr="00C60907" w:rsidRDefault="002B3025" w:rsidP="00B929BB">
            <w:pPr>
              <w:tabs>
                <w:tab w:val="left" w:pos="709"/>
              </w:tabs>
              <w:jc w:val="center"/>
              <w:rPr>
                <w:rFonts w:ascii="Verdana" w:hAnsi="Verdana" w:cs="Arial"/>
                <w:bCs/>
                <w:sz w:val="16"/>
                <w:szCs w:val="16"/>
              </w:rPr>
            </w:pPr>
            <w:r w:rsidRPr="00C60907">
              <w:rPr>
                <w:rFonts w:ascii="Verdana" w:hAnsi="Verdana" w:cs="Arial"/>
                <w:bCs/>
                <w:sz w:val="16"/>
                <w:szCs w:val="16"/>
              </w:rPr>
              <w:t>Roja</w:t>
            </w:r>
          </w:p>
        </w:tc>
        <w:tc>
          <w:tcPr>
            <w:tcW w:w="2014" w:type="dxa"/>
          </w:tcPr>
          <w:p w14:paraId="10117FBF" w14:textId="77777777" w:rsidR="002B3025" w:rsidRPr="00C60907" w:rsidRDefault="002B3025" w:rsidP="00B929BB">
            <w:pPr>
              <w:tabs>
                <w:tab w:val="left" w:pos="709"/>
              </w:tabs>
              <w:jc w:val="center"/>
              <w:rPr>
                <w:rFonts w:ascii="Verdana" w:hAnsi="Verdana" w:cs="Arial"/>
                <w:bCs/>
                <w:sz w:val="16"/>
                <w:szCs w:val="16"/>
              </w:rPr>
            </w:pPr>
            <w:r w:rsidRPr="00C60907">
              <w:rPr>
                <w:rFonts w:ascii="Verdana" w:hAnsi="Verdana" w:cs="Arial"/>
                <w:bCs/>
                <w:sz w:val="16"/>
                <w:szCs w:val="16"/>
              </w:rPr>
              <w:t>10 o más</w:t>
            </w:r>
          </w:p>
        </w:tc>
        <w:tc>
          <w:tcPr>
            <w:tcW w:w="2126" w:type="dxa"/>
          </w:tcPr>
          <w:p w14:paraId="0A5E7844" w14:textId="77777777" w:rsidR="002B3025" w:rsidRPr="00C60907" w:rsidRDefault="002B3025" w:rsidP="00B929BB">
            <w:pPr>
              <w:tabs>
                <w:tab w:val="left" w:pos="709"/>
              </w:tabs>
              <w:jc w:val="center"/>
              <w:rPr>
                <w:rFonts w:ascii="Verdana" w:hAnsi="Verdana" w:cs="Arial"/>
                <w:bCs/>
                <w:sz w:val="16"/>
                <w:szCs w:val="16"/>
              </w:rPr>
            </w:pPr>
            <w:r w:rsidRPr="00C60907">
              <w:rPr>
                <w:rFonts w:ascii="Verdana" w:hAnsi="Verdana" w:cs="Arial"/>
                <w:bCs/>
                <w:sz w:val="16"/>
                <w:szCs w:val="16"/>
              </w:rPr>
              <w:t>1</w:t>
            </w:r>
          </w:p>
        </w:tc>
      </w:tr>
    </w:tbl>
    <w:p w14:paraId="40B37CE5" w14:textId="77777777" w:rsidR="002B3025" w:rsidRPr="002B3025" w:rsidRDefault="002B3025" w:rsidP="00B929BB">
      <w:pPr>
        <w:tabs>
          <w:tab w:val="left" w:pos="709"/>
        </w:tabs>
        <w:jc w:val="both"/>
        <w:rPr>
          <w:rFonts w:ascii="Verdana" w:hAnsi="Verdana" w:cs="Arial"/>
          <w:bCs/>
          <w:sz w:val="20"/>
          <w:szCs w:val="20"/>
        </w:rPr>
      </w:pPr>
    </w:p>
    <w:p w14:paraId="5D2C641A" w14:textId="653F516A" w:rsidR="00C52263" w:rsidRPr="001C6CAB" w:rsidRDefault="00C52263" w:rsidP="00C52263">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9E039F">
        <w:rPr>
          <w:rFonts w:ascii="Verdana" w:hAnsi="Verdana"/>
          <w:sz w:val="20"/>
          <w:szCs w:val="20"/>
        </w:rPr>
        <w:t>15</w:t>
      </w:r>
      <w:r w:rsidRPr="001C6CAB">
        <w:rPr>
          <w:rFonts w:ascii="Verdana" w:hAnsi="Verdana"/>
          <w:sz w:val="20"/>
          <w:szCs w:val="20"/>
        </w:rPr>
        <w:t>.</w:t>
      </w:r>
    </w:p>
    <w:p w14:paraId="40CB3768" w14:textId="6D8B5A9B" w:rsidR="002B3025" w:rsidRPr="002B3025" w:rsidRDefault="002B3025" w:rsidP="00B929BB">
      <w:pPr>
        <w:tabs>
          <w:tab w:val="left" w:pos="709"/>
        </w:tabs>
        <w:jc w:val="both"/>
        <w:rPr>
          <w:rFonts w:ascii="Verdana" w:hAnsi="Verdana" w:cs="Arial"/>
          <w:bCs/>
          <w:sz w:val="20"/>
          <w:szCs w:val="20"/>
        </w:rPr>
      </w:pPr>
      <w:r w:rsidRPr="002B3025">
        <w:rPr>
          <w:rFonts w:ascii="Verdana" w:hAnsi="Verdana" w:cs="Arial"/>
          <w:bCs/>
          <w:sz w:val="20"/>
          <w:szCs w:val="20"/>
        </w:rPr>
        <w:t>El número de excepciones corresponde al número de días en los que la pérdida observada fue mayor a la pérdida estimada por el respectivo modelo.</w:t>
      </w:r>
    </w:p>
    <w:p w14:paraId="7EB7DBED" w14:textId="66F99750" w:rsidR="00C52263" w:rsidRPr="001C6CAB" w:rsidRDefault="00C52263" w:rsidP="00C52263">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9E039F">
        <w:rPr>
          <w:rFonts w:ascii="Verdana" w:hAnsi="Verdana"/>
          <w:sz w:val="20"/>
          <w:szCs w:val="20"/>
        </w:rPr>
        <w:t>16</w:t>
      </w:r>
      <w:r w:rsidRPr="001C6CAB">
        <w:rPr>
          <w:rFonts w:ascii="Verdana" w:hAnsi="Verdana"/>
          <w:sz w:val="20"/>
          <w:szCs w:val="20"/>
        </w:rPr>
        <w:t>.</w:t>
      </w:r>
    </w:p>
    <w:p w14:paraId="1B5BBB9C" w14:textId="26D7D942" w:rsidR="002B3025" w:rsidRPr="002B3025" w:rsidRDefault="002B3025" w:rsidP="00B929BB">
      <w:pPr>
        <w:tabs>
          <w:tab w:val="left" w:pos="709"/>
        </w:tabs>
        <w:jc w:val="both"/>
        <w:rPr>
          <w:rFonts w:ascii="Verdana" w:hAnsi="Verdana" w:cs="Arial"/>
          <w:bCs/>
          <w:sz w:val="20"/>
          <w:szCs w:val="20"/>
        </w:rPr>
      </w:pPr>
      <w:r w:rsidRPr="002B3025">
        <w:rPr>
          <w:rFonts w:ascii="Verdana" w:hAnsi="Verdana" w:cs="Arial"/>
          <w:bCs/>
          <w:sz w:val="20"/>
          <w:szCs w:val="20"/>
        </w:rPr>
        <w:t xml:space="preserve">Sin perjuicio de lo anterior, la SFC podrá exigir ajustes en el factor multiplicativo diferentes a los estipulados en la </w:t>
      </w:r>
      <w:r w:rsidR="007E1DB3">
        <w:rPr>
          <w:rFonts w:ascii="Verdana" w:hAnsi="Verdana" w:cs="Arial"/>
          <w:bCs/>
          <w:sz w:val="20"/>
          <w:szCs w:val="20"/>
        </w:rPr>
        <w:t>tabla anterior</w:t>
      </w:r>
      <w:r w:rsidRPr="002B3025">
        <w:rPr>
          <w:rFonts w:ascii="Verdana" w:hAnsi="Verdana" w:cs="Arial"/>
          <w:bCs/>
          <w:sz w:val="20"/>
          <w:szCs w:val="20"/>
        </w:rPr>
        <w:t xml:space="preserve"> dependiendo de la evaluación general del riesgo de mercado de la entidad.</w:t>
      </w:r>
    </w:p>
    <w:p w14:paraId="6E086D5C" w14:textId="25936C7D" w:rsidR="00C52263" w:rsidRPr="001C6CAB" w:rsidRDefault="00C52263" w:rsidP="00C52263">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9E039F">
        <w:rPr>
          <w:rFonts w:ascii="Verdana" w:hAnsi="Verdana"/>
          <w:sz w:val="20"/>
          <w:szCs w:val="20"/>
        </w:rPr>
        <w:t>17</w:t>
      </w:r>
      <w:r w:rsidRPr="001C6CAB">
        <w:rPr>
          <w:rFonts w:ascii="Verdana" w:hAnsi="Verdana"/>
          <w:sz w:val="20"/>
          <w:szCs w:val="20"/>
        </w:rPr>
        <w:t>.</w:t>
      </w:r>
    </w:p>
    <w:p w14:paraId="13DC8BBE" w14:textId="1E69D1B9" w:rsidR="00DE3007" w:rsidRPr="00624F3C" w:rsidRDefault="002B3025" w:rsidP="00624F3C">
      <w:pPr>
        <w:tabs>
          <w:tab w:val="left" w:pos="709"/>
        </w:tabs>
        <w:jc w:val="both"/>
        <w:rPr>
          <w:rFonts w:ascii="Verdana" w:hAnsi="Verdana" w:cs="Arial"/>
          <w:bCs/>
          <w:sz w:val="20"/>
          <w:szCs w:val="20"/>
          <w:lang w:val="es-ES_tradnl"/>
        </w:rPr>
      </w:pPr>
      <w:r w:rsidRPr="002B3025">
        <w:rPr>
          <w:rFonts w:ascii="Verdana" w:hAnsi="Verdana" w:cs="Arial"/>
          <w:bCs/>
          <w:sz w:val="20"/>
          <w:szCs w:val="20"/>
        </w:rPr>
        <w:t>El capital de la entidad autorizada no objetada a utilizar modelos internos debe ser suficiente para satisfacer la relación de solvencia de forma diaria.</w:t>
      </w:r>
    </w:p>
    <w:p w14:paraId="7FA70C10" w14:textId="77777777" w:rsidR="00097AE3" w:rsidRDefault="00097AE3" w:rsidP="00624F3C">
      <w:pPr>
        <w:spacing w:after="0" w:line="240" w:lineRule="auto"/>
        <w:jc w:val="both"/>
        <w:rPr>
          <w:rFonts w:ascii="Verdana" w:hAnsi="Verdana" w:cs="Arial"/>
          <w:b/>
          <w:sz w:val="20"/>
          <w:szCs w:val="20"/>
        </w:rPr>
      </w:pPr>
    </w:p>
    <w:p w14:paraId="0A7C0844" w14:textId="77777777" w:rsidR="00097AE3" w:rsidRDefault="00097AE3" w:rsidP="00624F3C">
      <w:pPr>
        <w:spacing w:after="0" w:line="240" w:lineRule="auto"/>
        <w:jc w:val="both"/>
        <w:rPr>
          <w:rFonts w:ascii="Verdana" w:hAnsi="Verdana" w:cs="Arial"/>
          <w:b/>
          <w:sz w:val="20"/>
          <w:szCs w:val="20"/>
        </w:rPr>
      </w:pPr>
    </w:p>
    <w:p w14:paraId="68E7DC66" w14:textId="77777777" w:rsidR="00097AE3" w:rsidRDefault="00097AE3" w:rsidP="00624F3C">
      <w:pPr>
        <w:spacing w:after="0" w:line="240" w:lineRule="auto"/>
        <w:jc w:val="both"/>
        <w:rPr>
          <w:rFonts w:ascii="Verdana" w:hAnsi="Verdana" w:cs="Arial"/>
          <w:b/>
          <w:sz w:val="20"/>
          <w:szCs w:val="20"/>
        </w:rPr>
      </w:pPr>
    </w:p>
    <w:p w14:paraId="23E589D4" w14:textId="4AE25BC8" w:rsidR="002B3025" w:rsidRDefault="002B3025" w:rsidP="00624F3C">
      <w:pPr>
        <w:spacing w:after="0" w:line="240" w:lineRule="auto"/>
        <w:jc w:val="both"/>
        <w:rPr>
          <w:rFonts w:ascii="Verdana" w:hAnsi="Verdana" w:cs="Arial"/>
          <w:b/>
          <w:sz w:val="20"/>
          <w:szCs w:val="20"/>
        </w:rPr>
      </w:pPr>
      <w:r w:rsidRPr="00DE3007">
        <w:rPr>
          <w:rFonts w:ascii="Verdana" w:hAnsi="Verdana" w:cs="Arial"/>
          <w:b/>
          <w:sz w:val="20"/>
          <w:szCs w:val="20"/>
        </w:rPr>
        <w:lastRenderedPageBreak/>
        <w:t>Revelación contable</w:t>
      </w:r>
    </w:p>
    <w:p w14:paraId="50E1EF91" w14:textId="77777777" w:rsidR="00624F3C" w:rsidRPr="00624F3C" w:rsidRDefault="00624F3C" w:rsidP="00624F3C">
      <w:pPr>
        <w:spacing w:after="0" w:line="240" w:lineRule="auto"/>
        <w:jc w:val="both"/>
        <w:rPr>
          <w:rFonts w:ascii="Verdana" w:hAnsi="Verdana" w:cs="Arial"/>
          <w:b/>
          <w:sz w:val="20"/>
          <w:szCs w:val="20"/>
        </w:rPr>
      </w:pPr>
    </w:p>
    <w:p w14:paraId="4257253C" w14:textId="5E935F95" w:rsidR="00DE3007" w:rsidRPr="001C6CAB" w:rsidRDefault="00DE3007" w:rsidP="00DE3007">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9E039F">
        <w:rPr>
          <w:rFonts w:ascii="Verdana" w:hAnsi="Verdana"/>
          <w:sz w:val="20"/>
          <w:szCs w:val="20"/>
        </w:rPr>
        <w:t>18</w:t>
      </w:r>
      <w:r w:rsidRPr="001C6CAB">
        <w:rPr>
          <w:rFonts w:ascii="Verdana" w:hAnsi="Verdana"/>
          <w:sz w:val="20"/>
          <w:szCs w:val="20"/>
        </w:rPr>
        <w:t>.</w:t>
      </w:r>
    </w:p>
    <w:p w14:paraId="37E55D43" w14:textId="2B24C43B" w:rsidR="002B3025" w:rsidRDefault="002B3025" w:rsidP="00B929BB">
      <w:pPr>
        <w:jc w:val="both"/>
        <w:rPr>
          <w:rFonts w:ascii="Verdana" w:hAnsi="Verdana" w:cs="Arial"/>
          <w:bCs/>
          <w:sz w:val="20"/>
          <w:szCs w:val="20"/>
          <w:lang w:val="es-MX"/>
        </w:rPr>
      </w:pPr>
      <w:r w:rsidRPr="002B3025">
        <w:rPr>
          <w:rFonts w:ascii="Verdana" w:hAnsi="Verdana" w:cs="Arial"/>
          <w:bCs/>
          <w:sz w:val="20"/>
          <w:szCs w:val="20"/>
          <w:lang w:val="es-MX"/>
        </w:rPr>
        <w:t>La entidad debe presentar en las notas a los estados financieros un resumen de sus operaciones de tesorería. En este sentido, las notas deben contener información cualitativa y cuantitativa sobre la naturaleza de las operaciones</w:t>
      </w:r>
      <w:r w:rsidR="007A48FD">
        <w:rPr>
          <w:rFonts w:ascii="Verdana" w:hAnsi="Verdana" w:cs="Arial"/>
          <w:bCs/>
          <w:sz w:val="20"/>
          <w:szCs w:val="20"/>
          <w:lang w:val="es-MX"/>
        </w:rPr>
        <w:t xml:space="preserve"> que realiza</w:t>
      </w:r>
      <w:r w:rsidRPr="002B3025">
        <w:rPr>
          <w:rFonts w:ascii="Verdana" w:hAnsi="Verdana" w:cs="Arial"/>
          <w:bCs/>
          <w:sz w:val="20"/>
          <w:szCs w:val="20"/>
          <w:lang w:val="es-MX"/>
        </w:rPr>
        <w:t xml:space="preserve"> e ilustrar cómo estas actividades contribuyen a su perfil de ingresos y de riesgo de mercado.</w:t>
      </w:r>
    </w:p>
    <w:p w14:paraId="12F0B51D" w14:textId="19F20734" w:rsidR="002B3025" w:rsidRDefault="002B3025" w:rsidP="00551D66">
      <w:pPr>
        <w:pStyle w:val="Prrafodelista"/>
        <w:numPr>
          <w:ilvl w:val="0"/>
          <w:numId w:val="39"/>
        </w:numPr>
        <w:tabs>
          <w:tab w:val="right" w:pos="540"/>
        </w:tabs>
        <w:spacing w:after="0" w:line="240" w:lineRule="auto"/>
        <w:ind w:left="284" w:hanging="284"/>
        <w:contextualSpacing w:val="0"/>
        <w:jc w:val="both"/>
        <w:rPr>
          <w:rFonts w:ascii="Verdana" w:hAnsi="Verdana" w:cs="Arial"/>
          <w:b/>
          <w:sz w:val="20"/>
          <w:szCs w:val="20"/>
        </w:rPr>
      </w:pPr>
      <w:r w:rsidRPr="002D3C03">
        <w:rPr>
          <w:rFonts w:ascii="Verdana" w:hAnsi="Verdana" w:cs="Arial"/>
          <w:b/>
          <w:sz w:val="20"/>
          <w:szCs w:val="20"/>
        </w:rPr>
        <w:t>Información cuantitativa</w:t>
      </w:r>
    </w:p>
    <w:p w14:paraId="44844C09" w14:textId="77777777" w:rsidR="00624F3C" w:rsidRPr="00624F3C" w:rsidRDefault="00624F3C" w:rsidP="00624F3C">
      <w:pPr>
        <w:pStyle w:val="Prrafodelista"/>
        <w:tabs>
          <w:tab w:val="right" w:pos="540"/>
        </w:tabs>
        <w:spacing w:after="0" w:line="240" w:lineRule="auto"/>
        <w:ind w:left="0"/>
        <w:contextualSpacing w:val="0"/>
        <w:jc w:val="both"/>
        <w:rPr>
          <w:rFonts w:ascii="Verdana" w:hAnsi="Verdana" w:cs="Arial"/>
          <w:b/>
          <w:sz w:val="20"/>
          <w:szCs w:val="20"/>
        </w:rPr>
      </w:pPr>
    </w:p>
    <w:p w14:paraId="2B43F684" w14:textId="3613EFA7" w:rsidR="002D3C03" w:rsidRPr="001C6CAB" w:rsidRDefault="002D3C03" w:rsidP="002D3C03">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9E039F">
        <w:rPr>
          <w:rFonts w:ascii="Verdana" w:hAnsi="Verdana"/>
          <w:sz w:val="20"/>
          <w:szCs w:val="20"/>
        </w:rPr>
        <w:t>19</w:t>
      </w:r>
      <w:r w:rsidRPr="001C6CAB">
        <w:rPr>
          <w:rFonts w:ascii="Verdana" w:hAnsi="Verdana"/>
          <w:sz w:val="20"/>
          <w:szCs w:val="20"/>
        </w:rPr>
        <w:t>.</w:t>
      </w:r>
    </w:p>
    <w:p w14:paraId="3760C8F7" w14:textId="77777777" w:rsidR="002B3025" w:rsidRPr="002B3025" w:rsidRDefault="002B3025" w:rsidP="00B929BB">
      <w:pPr>
        <w:jc w:val="both"/>
        <w:rPr>
          <w:rFonts w:ascii="Verdana" w:hAnsi="Verdana" w:cs="Arial"/>
          <w:bCs/>
          <w:sz w:val="20"/>
          <w:szCs w:val="20"/>
        </w:rPr>
      </w:pPr>
      <w:r w:rsidRPr="002B3025">
        <w:rPr>
          <w:rFonts w:ascii="Verdana" w:hAnsi="Verdana" w:cs="Arial"/>
          <w:bCs/>
          <w:sz w:val="20"/>
          <w:szCs w:val="20"/>
        </w:rPr>
        <w:t>La entidad debe revelar al público una imagen clara de sus actividades de tesorería mediante la presentación de información cuantitativa. Esta presentación debe incluir, cuando menos, la siguiente información:</w:t>
      </w:r>
    </w:p>
    <w:p w14:paraId="09936523" w14:textId="77777777" w:rsidR="002B3025" w:rsidRPr="002B3025" w:rsidRDefault="002B3025" w:rsidP="00634E67">
      <w:pPr>
        <w:pStyle w:val="Prrafodelista"/>
        <w:numPr>
          <w:ilvl w:val="0"/>
          <w:numId w:val="19"/>
        </w:numPr>
        <w:spacing w:after="0" w:line="240" w:lineRule="auto"/>
        <w:ind w:left="567" w:hanging="567"/>
        <w:jc w:val="both"/>
        <w:rPr>
          <w:rFonts w:ascii="Verdana" w:hAnsi="Verdana" w:cs="Arial"/>
          <w:bCs/>
          <w:sz w:val="20"/>
          <w:szCs w:val="20"/>
        </w:rPr>
      </w:pPr>
      <w:r w:rsidRPr="002B3025">
        <w:rPr>
          <w:rFonts w:ascii="Verdana" w:hAnsi="Verdana" w:cs="Arial"/>
          <w:bCs/>
          <w:sz w:val="20"/>
          <w:szCs w:val="20"/>
        </w:rPr>
        <w:t>Composición de los portafolios de tesorería.</w:t>
      </w:r>
    </w:p>
    <w:p w14:paraId="3A9401CC" w14:textId="77777777" w:rsidR="008A53D3" w:rsidRDefault="008A53D3" w:rsidP="008A53D3">
      <w:pPr>
        <w:pStyle w:val="Prrafodelista"/>
        <w:spacing w:after="0" w:line="240" w:lineRule="auto"/>
        <w:ind w:left="567"/>
        <w:jc w:val="both"/>
        <w:rPr>
          <w:rFonts w:ascii="Verdana" w:hAnsi="Verdana" w:cs="Arial"/>
          <w:bCs/>
          <w:sz w:val="20"/>
          <w:szCs w:val="20"/>
        </w:rPr>
      </w:pPr>
    </w:p>
    <w:p w14:paraId="4CCA7539" w14:textId="70C116C9" w:rsidR="002B3025" w:rsidRPr="002B3025" w:rsidRDefault="002B3025" w:rsidP="00634E67">
      <w:pPr>
        <w:pStyle w:val="Prrafodelista"/>
        <w:numPr>
          <w:ilvl w:val="0"/>
          <w:numId w:val="19"/>
        </w:numPr>
        <w:spacing w:after="0" w:line="240" w:lineRule="auto"/>
        <w:ind w:left="567" w:hanging="567"/>
        <w:jc w:val="both"/>
        <w:rPr>
          <w:rFonts w:ascii="Verdana" w:hAnsi="Verdana" w:cs="Arial"/>
          <w:bCs/>
          <w:sz w:val="20"/>
          <w:szCs w:val="20"/>
        </w:rPr>
      </w:pPr>
      <w:r w:rsidRPr="002B3025">
        <w:rPr>
          <w:rFonts w:ascii="Verdana" w:hAnsi="Verdana" w:cs="Arial"/>
          <w:bCs/>
          <w:sz w:val="20"/>
          <w:szCs w:val="20"/>
        </w:rPr>
        <w:t>Valores máximos, mínimos y promedio de los portafolios de tesorería durante el período de análisis.</w:t>
      </w:r>
    </w:p>
    <w:p w14:paraId="2FFA8076" w14:textId="77777777" w:rsidR="008A53D3" w:rsidRDefault="008A53D3" w:rsidP="008A53D3">
      <w:pPr>
        <w:pStyle w:val="Prrafodelista"/>
        <w:spacing w:after="0" w:line="240" w:lineRule="auto"/>
        <w:ind w:left="567"/>
        <w:jc w:val="both"/>
        <w:rPr>
          <w:rFonts w:ascii="Verdana" w:hAnsi="Verdana" w:cs="Arial"/>
          <w:bCs/>
          <w:sz w:val="20"/>
          <w:szCs w:val="20"/>
        </w:rPr>
      </w:pPr>
    </w:p>
    <w:p w14:paraId="2B0AD512" w14:textId="2B0D1565" w:rsidR="002B3025" w:rsidRPr="002B3025" w:rsidRDefault="002B3025" w:rsidP="00634E67">
      <w:pPr>
        <w:pStyle w:val="Prrafodelista"/>
        <w:numPr>
          <w:ilvl w:val="0"/>
          <w:numId w:val="19"/>
        </w:numPr>
        <w:spacing w:after="0" w:line="240" w:lineRule="auto"/>
        <w:ind w:left="567" w:hanging="567"/>
        <w:jc w:val="both"/>
        <w:rPr>
          <w:rFonts w:ascii="Verdana" w:hAnsi="Verdana" w:cs="Arial"/>
          <w:bCs/>
          <w:sz w:val="20"/>
          <w:szCs w:val="20"/>
        </w:rPr>
      </w:pPr>
      <w:r w:rsidRPr="002B3025">
        <w:rPr>
          <w:rFonts w:ascii="Verdana" w:hAnsi="Verdana" w:cs="Arial"/>
          <w:bCs/>
          <w:sz w:val="20"/>
          <w:szCs w:val="20"/>
        </w:rPr>
        <w:t>Niveles de exposición por riesgo para los instrumentos financieros más importantes dentro de los portafolios de tesorería.</w:t>
      </w:r>
    </w:p>
    <w:p w14:paraId="4A8A378F" w14:textId="77777777" w:rsidR="008A53D3" w:rsidRDefault="008A53D3" w:rsidP="008A53D3">
      <w:pPr>
        <w:pStyle w:val="Prrafodelista"/>
        <w:spacing w:after="0" w:line="240" w:lineRule="auto"/>
        <w:ind w:left="567"/>
        <w:jc w:val="both"/>
        <w:rPr>
          <w:rFonts w:ascii="Verdana" w:hAnsi="Verdana" w:cs="Arial"/>
          <w:bCs/>
          <w:sz w:val="20"/>
          <w:szCs w:val="20"/>
        </w:rPr>
      </w:pPr>
    </w:p>
    <w:p w14:paraId="64C0ECD6" w14:textId="28879186" w:rsidR="002B3025" w:rsidRDefault="002B3025" w:rsidP="00B929BB">
      <w:pPr>
        <w:pStyle w:val="Prrafodelista"/>
        <w:numPr>
          <w:ilvl w:val="0"/>
          <w:numId w:val="19"/>
        </w:numPr>
        <w:spacing w:after="0" w:line="240" w:lineRule="auto"/>
        <w:ind w:left="567" w:hanging="567"/>
        <w:jc w:val="both"/>
        <w:rPr>
          <w:rFonts w:ascii="Verdana" w:hAnsi="Verdana" w:cs="Arial"/>
          <w:bCs/>
          <w:sz w:val="20"/>
          <w:szCs w:val="20"/>
        </w:rPr>
      </w:pPr>
      <w:r w:rsidRPr="002B3025">
        <w:rPr>
          <w:rFonts w:ascii="Verdana" w:hAnsi="Verdana" w:cs="Arial"/>
          <w:bCs/>
          <w:sz w:val="20"/>
          <w:szCs w:val="20"/>
        </w:rPr>
        <w:t>Niveles de exposición por riesgo para la posición consolidada de tesorería.</w:t>
      </w:r>
    </w:p>
    <w:p w14:paraId="28878A92" w14:textId="77777777" w:rsidR="009E039F" w:rsidRDefault="009E039F" w:rsidP="008A53D3">
      <w:pPr>
        <w:spacing w:after="0"/>
        <w:rPr>
          <w:rFonts w:ascii="Verdana" w:hAnsi="Verdana"/>
          <w:sz w:val="20"/>
          <w:szCs w:val="20"/>
        </w:rPr>
      </w:pPr>
    </w:p>
    <w:p w14:paraId="6859FB65" w14:textId="2D7CD1C0" w:rsidR="008A53D3" w:rsidRPr="001C6CAB" w:rsidRDefault="008A53D3" w:rsidP="008A53D3">
      <w:pPr>
        <w:spacing w:after="0"/>
        <w:rPr>
          <w:rFonts w:ascii="Verdana" w:hAnsi="Verdana"/>
          <w:sz w:val="20"/>
          <w:szCs w:val="20"/>
        </w:rPr>
      </w:pPr>
      <w:r w:rsidRPr="001C6CAB">
        <w:rPr>
          <w:rFonts w:ascii="Verdana" w:hAnsi="Verdana"/>
          <w:sz w:val="20"/>
          <w:szCs w:val="20"/>
        </w:rPr>
        <w:t>1.1.3.</w:t>
      </w:r>
      <w:r>
        <w:rPr>
          <w:rFonts w:ascii="Verdana" w:hAnsi="Verdana"/>
          <w:sz w:val="20"/>
          <w:szCs w:val="20"/>
        </w:rPr>
        <w:t>12</w:t>
      </w:r>
      <w:r w:rsidR="009E039F">
        <w:rPr>
          <w:rFonts w:ascii="Verdana" w:hAnsi="Verdana"/>
          <w:sz w:val="20"/>
          <w:szCs w:val="20"/>
        </w:rPr>
        <w:t>0</w:t>
      </w:r>
      <w:r w:rsidRPr="001C6CAB">
        <w:rPr>
          <w:rFonts w:ascii="Verdana" w:hAnsi="Verdana"/>
          <w:sz w:val="20"/>
          <w:szCs w:val="20"/>
        </w:rPr>
        <w:t>.</w:t>
      </w:r>
    </w:p>
    <w:p w14:paraId="584AB6B7" w14:textId="7DE039DF" w:rsidR="002B3025" w:rsidRPr="002B3025" w:rsidRDefault="002B3025" w:rsidP="00B929BB">
      <w:pPr>
        <w:jc w:val="both"/>
        <w:rPr>
          <w:rFonts w:ascii="Verdana" w:hAnsi="Verdana" w:cs="Arial"/>
          <w:bCs/>
          <w:sz w:val="20"/>
          <w:szCs w:val="20"/>
        </w:rPr>
      </w:pPr>
      <w:r w:rsidRPr="002B3025">
        <w:rPr>
          <w:rFonts w:ascii="Verdana" w:hAnsi="Verdana" w:cs="Arial"/>
          <w:bCs/>
          <w:sz w:val="20"/>
          <w:szCs w:val="20"/>
        </w:rPr>
        <w:t xml:space="preserve">Las SCBV en cumplimiento de lo dispuesto en el Decreto 2555 de 2010 deben además revelar al público a través de </w:t>
      </w:r>
      <w:r w:rsidR="00BD0497">
        <w:rPr>
          <w:rFonts w:ascii="Verdana" w:hAnsi="Verdana" w:cs="Arial"/>
          <w:bCs/>
          <w:sz w:val="20"/>
          <w:szCs w:val="20"/>
        </w:rPr>
        <w:t xml:space="preserve">las </w:t>
      </w:r>
      <w:r w:rsidRPr="002B3025">
        <w:rPr>
          <w:rFonts w:ascii="Verdana" w:hAnsi="Verdana" w:cs="Arial"/>
          <w:bCs/>
          <w:sz w:val="20"/>
          <w:szCs w:val="20"/>
        </w:rPr>
        <w:t>notas a los estados financieros, la siguiente información:</w:t>
      </w:r>
    </w:p>
    <w:p w14:paraId="3AE5AFC7" w14:textId="77777777" w:rsidR="002B3025" w:rsidRDefault="002B3025" w:rsidP="00634E67">
      <w:pPr>
        <w:pStyle w:val="Prrafodelista"/>
        <w:numPr>
          <w:ilvl w:val="0"/>
          <w:numId w:val="20"/>
        </w:numPr>
        <w:tabs>
          <w:tab w:val="left" w:pos="540"/>
        </w:tabs>
        <w:spacing w:after="0" w:line="240" w:lineRule="auto"/>
        <w:ind w:left="567" w:hanging="567"/>
        <w:jc w:val="both"/>
        <w:rPr>
          <w:rFonts w:ascii="Verdana" w:hAnsi="Verdana" w:cs="Arial"/>
          <w:bCs/>
          <w:sz w:val="20"/>
          <w:szCs w:val="20"/>
        </w:rPr>
      </w:pPr>
      <w:r w:rsidRPr="008A53D3">
        <w:rPr>
          <w:rFonts w:ascii="Verdana" w:hAnsi="Verdana" w:cs="Arial"/>
          <w:bCs/>
          <w:sz w:val="20"/>
          <w:szCs w:val="20"/>
        </w:rPr>
        <w:t>El número y monto de las situaciones de concentración que mantengan, incluyendo el monto total de aquellos y el porcentaje que representan de su patrimonio técnico.</w:t>
      </w:r>
    </w:p>
    <w:p w14:paraId="41539028" w14:textId="77777777" w:rsidR="008A53D3" w:rsidRPr="008A53D3" w:rsidRDefault="008A53D3" w:rsidP="00B44231">
      <w:pPr>
        <w:pStyle w:val="Prrafodelista"/>
        <w:tabs>
          <w:tab w:val="left" w:pos="540"/>
        </w:tabs>
        <w:spacing w:after="0" w:line="240" w:lineRule="auto"/>
        <w:ind w:left="567" w:hanging="567"/>
        <w:jc w:val="both"/>
        <w:rPr>
          <w:rFonts w:ascii="Verdana" w:hAnsi="Verdana" w:cs="Arial"/>
          <w:bCs/>
          <w:sz w:val="20"/>
          <w:szCs w:val="20"/>
        </w:rPr>
      </w:pPr>
    </w:p>
    <w:p w14:paraId="2EBE02E1" w14:textId="77777777" w:rsidR="002B3025" w:rsidRPr="008A53D3" w:rsidRDefault="002B3025" w:rsidP="00634E67">
      <w:pPr>
        <w:pStyle w:val="Prrafodelista"/>
        <w:numPr>
          <w:ilvl w:val="0"/>
          <w:numId w:val="20"/>
        </w:numPr>
        <w:tabs>
          <w:tab w:val="left" w:pos="540"/>
        </w:tabs>
        <w:spacing w:after="0" w:line="240" w:lineRule="auto"/>
        <w:ind w:left="567" w:hanging="567"/>
        <w:jc w:val="both"/>
        <w:rPr>
          <w:rFonts w:ascii="Verdana" w:hAnsi="Verdana" w:cs="Arial"/>
          <w:bCs/>
          <w:sz w:val="20"/>
          <w:szCs w:val="20"/>
        </w:rPr>
      </w:pPr>
      <w:r w:rsidRPr="008A53D3">
        <w:rPr>
          <w:rFonts w:ascii="Verdana" w:hAnsi="Verdana" w:cs="Arial"/>
          <w:bCs/>
          <w:sz w:val="20"/>
          <w:szCs w:val="20"/>
        </w:rPr>
        <w:t>El monto al que ascienden sus 3 mayores situaciones de concentración.</w:t>
      </w:r>
    </w:p>
    <w:p w14:paraId="74635124" w14:textId="77777777" w:rsidR="00624F3C" w:rsidRDefault="00624F3C" w:rsidP="00624F3C">
      <w:pPr>
        <w:pStyle w:val="Prrafodelista"/>
        <w:tabs>
          <w:tab w:val="right" w:pos="540"/>
        </w:tabs>
        <w:spacing w:after="0" w:line="240" w:lineRule="auto"/>
        <w:ind w:left="0"/>
        <w:contextualSpacing w:val="0"/>
        <w:jc w:val="both"/>
        <w:rPr>
          <w:rFonts w:ascii="Verdana" w:hAnsi="Verdana" w:cs="Arial"/>
          <w:b/>
          <w:sz w:val="20"/>
          <w:szCs w:val="20"/>
        </w:rPr>
      </w:pPr>
    </w:p>
    <w:p w14:paraId="48E16D95" w14:textId="4EA393A0" w:rsidR="00624F3C" w:rsidRDefault="002B3025" w:rsidP="00551D66">
      <w:pPr>
        <w:pStyle w:val="Prrafodelista"/>
        <w:numPr>
          <w:ilvl w:val="0"/>
          <w:numId w:val="39"/>
        </w:numPr>
        <w:tabs>
          <w:tab w:val="right" w:pos="284"/>
        </w:tabs>
        <w:spacing w:after="0" w:line="240" w:lineRule="auto"/>
        <w:ind w:left="284" w:hanging="284"/>
        <w:contextualSpacing w:val="0"/>
        <w:jc w:val="both"/>
        <w:rPr>
          <w:rFonts w:ascii="Verdana" w:hAnsi="Verdana" w:cs="Arial"/>
          <w:b/>
          <w:sz w:val="20"/>
          <w:szCs w:val="20"/>
        </w:rPr>
      </w:pPr>
      <w:r w:rsidRPr="00B44231">
        <w:rPr>
          <w:rFonts w:ascii="Verdana" w:hAnsi="Verdana" w:cs="Arial"/>
          <w:b/>
          <w:sz w:val="20"/>
          <w:szCs w:val="20"/>
        </w:rPr>
        <w:t>Información cualitativa</w:t>
      </w:r>
    </w:p>
    <w:p w14:paraId="29E540D8" w14:textId="77777777" w:rsidR="00624F3C" w:rsidRDefault="00624F3C" w:rsidP="00624F3C">
      <w:pPr>
        <w:pStyle w:val="Prrafodelista"/>
        <w:tabs>
          <w:tab w:val="right" w:pos="540"/>
        </w:tabs>
        <w:spacing w:after="0" w:line="240" w:lineRule="auto"/>
        <w:ind w:left="0"/>
        <w:contextualSpacing w:val="0"/>
        <w:jc w:val="both"/>
        <w:rPr>
          <w:rFonts w:ascii="Verdana" w:hAnsi="Verdana" w:cs="Arial"/>
          <w:b/>
          <w:sz w:val="20"/>
          <w:szCs w:val="20"/>
        </w:rPr>
      </w:pPr>
    </w:p>
    <w:p w14:paraId="15DA943B" w14:textId="7371268D" w:rsidR="00B44231" w:rsidRPr="00624F3C" w:rsidRDefault="00B44231" w:rsidP="00624F3C">
      <w:pPr>
        <w:pStyle w:val="Prrafodelista"/>
        <w:tabs>
          <w:tab w:val="right" w:pos="540"/>
        </w:tabs>
        <w:spacing w:after="0" w:line="240" w:lineRule="auto"/>
        <w:ind w:left="0"/>
        <w:contextualSpacing w:val="0"/>
        <w:jc w:val="both"/>
        <w:rPr>
          <w:rFonts w:ascii="Verdana" w:hAnsi="Verdana" w:cs="Arial"/>
          <w:b/>
          <w:sz w:val="20"/>
          <w:szCs w:val="20"/>
        </w:rPr>
      </w:pPr>
      <w:r w:rsidRPr="001C6CAB">
        <w:rPr>
          <w:rFonts w:ascii="Verdana" w:hAnsi="Verdana"/>
          <w:sz w:val="20"/>
          <w:szCs w:val="20"/>
        </w:rPr>
        <w:t>1.1.3.</w:t>
      </w:r>
      <w:r>
        <w:rPr>
          <w:rFonts w:ascii="Verdana" w:hAnsi="Verdana"/>
          <w:sz w:val="20"/>
          <w:szCs w:val="20"/>
        </w:rPr>
        <w:t>12</w:t>
      </w:r>
      <w:r w:rsidR="009E039F">
        <w:rPr>
          <w:rFonts w:ascii="Verdana" w:hAnsi="Verdana"/>
          <w:sz w:val="20"/>
          <w:szCs w:val="20"/>
        </w:rPr>
        <w:t>1</w:t>
      </w:r>
      <w:r w:rsidRPr="001C6CAB">
        <w:rPr>
          <w:rFonts w:ascii="Verdana" w:hAnsi="Verdana"/>
          <w:sz w:val="20"/>
          <w:szCs w:val="20"/>
        </w:rPr>
        <w:t>.</w:t>
      </w:r>
    </w:p>
    <w:p w14:paraId="6250B130" w14:textId="71BC76C7" w:rsidR="002B3025" w:rsidRPr="002B3025" w:rsidRDefault="002B3025" w:rsidP="00B929BB">
      <w:pPr>
        <w:jc w:val="both"/>
        <w:rPr>
          <w:rFonts w:ascii="Verdana" w:hAnsi="Verdana" w:cs="Arial"/>
          <w:bCs/>
          <w:sz w:val="20"/>
          <w:szCs w:val="20"/>
          <w:lang w:val="es-MX"/>
        </w:rPr>
      </w:pPr>
      <w:r w:rsidRPr="002B3025">
        <w:rPr>
          <w:rFonts w:ascii="Verdana" w:hAnsi="Verdana" w:cs="Arial"/>
          <w:bCs/>
          <w:sz w:val="20"/>
          <w:szCs w:val="20"/>
          <w:lang w:val="es-MX"/>
        </w:rPr>
        <w:t xml:space="preserve">La información cualitativa es indispensable para elaborar y proveer una mejor comprensión de </w:t>
      </w:r>
      <w:r w:rsidR="00A13E04">
        <w:rPr>
          <w:rFonts w:ascii="Verdana" w:hAnsi="Verdana" w:cs="Arial"/>
          <w:bCs/>
          <w:sz w:val="20"/>
          <w:szCs w:val="20"/>
          <w:lang w:val="es-MX"/>
        </w:rPr>
        <w:t xml:space="preserve">la información de </w:t>
      </w:r>
      <w:r w:rsidRPr="002B3025">
        <w:rPr>
          <w:rFonts w:ascii="Verdana" w:hAnsi="Verdana" w:cs="Arial"/>
          <w:bCs/>
          <w:sz w:val="20"/>
          <w:szCs w:val="20"/>
          <w:lang w:val="es-MX"/>
        </w:rPr>
        <w:t>los estados financieros de la entidad, por tanto, es necesario que las instituciones informen sobre sus objetivos de negocio, estrategias y filosofía en la toma de riesgos. Así mismo, la entidad debe usar la información cualitativa para ilustrar cómo las operaciones de tesorería se acoplan a los objetivos de negocios de la organización.</w:t>
      </w:r>
    </w:p>
    <w:p w14:paraId="5CC78C48" w14:textId="681E6727" w:rsidR="00B44231" w:rsidRPr="001C6CAB" w:rsidRDefault="00B44231" w:rsidP="00B44231">
      <w:pPr>
        <w:spacing w:after="0"/>
        <w:rPr>
          <w:rFonts w:ascii="Verdana" w:hAnsi="Verdana"/>
          <w:sz w:val="20"/>
          <w:szCs w:val="20"/>
        </w:rPr>
      </w:pPr>
      <w:r w:rsidRPr="001C6CAB">
        <w:rPr>
          <w:rFonts w:ascii="Verdana" w:hAnsi="Verdana"/>
          <w:sz w:val="20"/>
          <w:szCs w:val="20"/>
        </w:rPr>
        <w:t>1.1.3.</w:t>
      </w:r>
      <w:r>
        <w:rPr>
          <w:rFonts w:ascii="Verdana" w:hAnsi="Verdana"/>
          <w:sz w:val="20"/>
          <w:szCs w:val="20"/>
        </w:rPr>
        <w:t>12</w:t>
      </w:r>
      <w:r w:rsidR="009E039F">
        <w:rPr>
          <w:rFonts w:ascii="Verdana" w:hAnsi="Verdana"/>
          <w:sz w:val="20"/>
          <w:szCs w:val="20"/>
        </w:rPr>
        <w:t>2</w:t>
      </w:r>
      <w:r w:rsidRPr="001C6CAB">
        <w:rPr>
          <w:rFonts w:ascii="Verdana" w:hAnsi="Verdana"/>
          <w:sz w:val="20"/>
          <w:szCs w:val="20"/>
        </w:rPr>
        <w:t>.</w:t>
      </w:r>
    </w:p>
    <w:p w14:paraId="42593BCE" w14:textId="77777777" w:rsidR="002B3025" w:rsidRPr="002B3025" w:rsidRDefault="002B3025" w:rsidP="00B929BB">
      <w:pPr>
        <w:jc w:val="both"/>
        <w:rPr>
          <w:rFonts w:ascii="Verdana" w:hAnsi="Verdana" w:cs="Arial"/>
          <w:bCs/>
          <w:sz w:val="20"/>
          <w:szCs w:val="20"/>
          <w:lang w:val="es-MX"/>
        </w:rPr>
      </w:pPr>
      <w:r w:rsidRPr="002B3025">
        <w:rPr>
          <w:rFonts w:ascii="Verdana" w:hAnsi="Verdana" w:cs="Arial"/>
          <w:bCs/>
          <w:sz w:val="20"/>
          <w:szCs w:val="20"/>
          <w:lang w:val="es-MX"/>
        </w:rPr>
        <w:t>La entidad debe revelar si su participación en el mercado puede ser considerada, en general, como la de un creador de mercado, o si la misma corresponde al desarrollo de la cuenta propia o si su actividad se concentra en atender las necesidades de clientes externos.</w:t>
      </w:r>
    </w:p>
    <w:p w14:paraId="0AE396C5" w14:textId="44CB6944" w:rsidR="00B44231" w:rsidRPr="001C6CAB" w:rsidRDefault="00B44231" w:rsidP="00B44231">
      <w:pPr>
        <w:spacing w:after="0"/>
        <w:rPr>
          <w:rFonts w:ascii="Verdana" w:hAnsi="Verdana"/>
          <w:sz w:val="20"/>
          <w:szCs w:val="20"/>
        </w:rPr>
      </w:pPr>
      <w:r w:rsidRPr="001C6CAB">
        <w:rPr>
          <w:rFonts w:ascii="Verdana" w:hAnsi="Verdana"/>
          <w:sz w:val="20"/>
          <w:szCs w:val="20"/>
        </w:rPr>
        <w:t>1.1.3.</w:t>
      </w:r>
      <w:r>
        <w:rPr>
          <w:rFonts w:ascii="Verdana" w:hAnsi="Verdana"/>
          <w:sz w:val="20"/>
          <w:szCs w:val="20"/>
        </w:rPr>
        <w:t>12</w:t>
      </w:r>
      <w:r w:rsidR="009E039F">
        <w:rPr>
          <w:rFonts w:ascii="Verdana" w:hAnsi="Verdana"/>
          <w:sz w:val="20"/>
          <w:szCs w:val="20"/>
        </w:rPr>
        <w:t>3</w:t>
      </w:r>
      <w:r w:rsidRPr="001C6CAB">
        <w:rPr>
          <w:rFonts w:ascii="Verdana" w:hAnsi="Verdana"/>
          <w:sz w:val="20"/>
          <w:szCs w:val="20"/>
        </w:rPr>
        <w:t>.</w:t>
      </w:r>
    </w:p>
    <w:p w14:paraId="758F7441" w14:textId="78226FEC" w:rsidR="007E1DB3" w:rsidRPr="00C60907" w:rsidRDefault="002B3025" w:rsidP="00C60907">
      <w:pPr>
        <w:jc w:val="both"/>
        <w:rPr>
          <w:rFonts w:ascii="Verdana" w:hAnsi="Verdana" w:cs="Arial"/>
          <w:bCs/>
          <w:sz w:val="20"/>
          <w:szCs w:val="20"/>
          <w:lang w:val="es-MX"/>
        </w:rPr>
      </w:pPr>
      <w:r w:rsidRPr="002B3025">
        <w:rPr>
          <w:rFonts w:ascii="Verdana" w:hAnsi="Verdana" w:cs="Arial"/>
          <w:bCs/>
          <w:sz w:val="20"/>
          <w:szCs w:val="20"/>
          <w:lang w:val="es-MX"/>
        </w:rPr>
        <w:t>La información revelada debe considerar los cambios potenciales en los niveles de riesgo, cambios materiales en las estrategias de trading, límites de exposición y sistemas de manejo de riesgo.</w:t>
      </w:r>
    </w:p>
    <w:p w14:paraId="2035725D" w14:textId="2F9155A5" w:rsidR="002B3025" w:rsidRDefault="002B3025" w:rsidP="00624F3C">
      <w:pPr>
        <w:spacing w:after="0" w:line="240" w:lineRule="auto"/>
        <w:jc w:val="both"/>
        <w:rPr>
          <w:rFonts w:ascii="Verdana" w:hAnsi="Verdana" w:cs="Arial"/>
          <w:b/>
          <w:sz w:val="20"/>
          <w:szCs w:val="20"/>
        </w:rPr>
      </w:pPr>
      <w:r w:rsidRPr="00BC10E1">
        <w:rPr>
          <w:rFonts w:ascii="Verdana" w:hAnsi="Verdana" w:cs="Arial"/>
          <w:b/>
          <w:sz w:val="20"/>
          <w:szCs w:val="20"/>
        </w:rPr>
        <w:t>Reportes a la SFC</w:t>
      </w:r>
    </w:p>
    <w:p w14:paraId="728B147A" w14:textId="77777777" w:rsidR="00624F3C" w:rsidRPr="00624F3C" w:rsidRDefault="00624F3C" w:rsidP="00624F3C">
      <w:pPr>
        <w:spacing w:after="0" w:line="240" w:lineRule="auto"/>
        <w:jc w:val="both"/>
        <w:rPr>
          <w:rFonts w:ascii="Verdana" w:hAnsi="Verdana" w:cs="Arial"/>
          <w:b/>
          <w:sz w:val="20"/>
          <w:szCs w:val="20"/>
        </w:rPr>
      </w:pPr>
    </w:p>
    <w:p w14:paraId="15832620" w14:textId="64FD3BC1" w:rsidR="00BC10E1" w:rsidRPr="001C6CAB" w:rsidRDefault="00BC10E1" w:rsidP="00BC10E1">
      <w:pPr>
        <w:spacing w:after="0"/>
        <w:rPr>
          <w:rFonts w:ascii="Verdana" w:hAnsi="Verdana"/>
          <w:sz w:val="20"/>
          <w:szCs w:val="20"/>
        </w:rPr>
      </w:pPr>
      <w:r w:rsidRPr="001C6CAB">
        <w:rPr>
          <w:rFonts w:ascii="Verdana" w:hAnsi="Verdana"/>
          <w:sz w:val="20"/>
          <w:szCs w:val="20"/>
        </w:rPr>
        <w:t>1.1.3.</w:t>
      </w:r>
      <w:r>
        <w:rPr>
          <w:rFonts w:ascii="Verdana" w:hAnsi="Verdana"/>
          <w:sz w:val="20"/>
          <w:szCs w:val="20"/>
        </w:rPr>
        <w:t>12</w:t>
      </w:r>
      <w:r w:rsidR="009E039F">
        <w:rPr>
          <w:rFonts w:ascii="Verdana" w:hAnsi="Verdana"/>
          <w:sz w:val="20"/>
          <w:szCs w:val="20"/>
        </w:rPr>
        <w:t>4</w:t>
      </w:r>
      <w:r w:rsidRPr="001C6CAB">
        <w:rPr>
          <w:rFonts w:ascii="Verdana" w:hAnsi="Verdana"/>
          <w:sz w:val="20"/>
          <w:szCs w:val="20"/>
        </w:rPr>
        <w:t>.</w:t>
      </w:r>
    </w:p>
    <w:p w14:paraId="37FC33A5" w14:textId="3485E591" w:rsidR="002B3025" w:rsidRPr="002B3025" w:rsidRDefault="002B3025" w:rsidP="00BC10E1">
      <w:pPr>
        <w:jc w:val="both"/>
        <w:rPr>
          <w:rFonts w:ascii="Verdana" w:hAnsi="Verdana" w:cs="Arial"/>
          <w:bCs/>
          <w:sz w:val="20"/>
          <w:szCs w:val="20"/>
        </w:rPr>
      </w:pPr>
      <w:r w:rsidRPr="002B3025">
        <w:rPr>
          <w:rFonts w:ascii="Verdana" w:hAnsi="Verdana" w:cs="Arial"/>
          <w:bCs/>
          <w:sz w:val="20"/>
          <w:szCs w:val="20"/>
        </w:rPr>
        <w:t>Los resultados de la medición de riesgo de mercado deben reportarse a la SFC con la periodicidad y los requisitos establecidos en los formatos previstos para este propósito. Adicionalmente, la SFC puede solicitar la información complementaria que considere pertinente.</w:t>
      </w:r>
    </w:p>
    <w:p w14:paraId="2241AC92" w14:textId="77777777" w:rsidR="00624F3C" w:rsidRDefault="00624F3C">
      <w:pPr>
        <w:rPr>
          <w:rFonts w:ascii="Verdana" w:hAnsi="Verdana" w:cs="Arial"/>
          <w:b/>
          <w:sz w:val="20"/>
          <w:szCs w:val="20"/>
        </w:rPr>
      </w:pPr>
      <w:r>
        <w:rPr>
          <w:rFonts w:ascii="Verdana" w:hAnsi="Verdana" w:cs="Arial"/>
          <w:b/>
          <w:sz w:val="20"/>
          <w:szCs w:val="20"/>
        </w:rPr>
        <w:br w:type="page"/>
      </w:r>
    </w:p>
    <w:p w14:paraId="61562545" w14:textId="5C9D869A" w:rsidR="002B3025" w:rsidRPr="00BC10E1" w:rsidRDefault="002B3025" w:rsidP="00BC10E1">
      <w:pPr>
        <w:tabs>
          <w:tab w:val="left" w:pos="0"/>
          <w:tab w:val="left" w:pos="284"/>
        </w:tabs>
        <w:spacing w:after="0" w:line="240" w:lineRule="auto"/>
        <w:jc w:val="both"/>
        <w:rPr>
          <w:rFonts w:ascii="Verdana" w:hAnsi="Verdana" w:cs="Arial"/>
          <w:b/>
          <w:sz w:val="20"/>
          <w:szCs w:val="20"/>
        </w:rPr>
      </w:pPr>
      <w:r w:rsidRPr="00BC10E1">
        <w:rPr>
          <w:rFonts w:ascii="Verdana" w:hAnsi="Verdana" w:cs="Arial"/>
          <w:b/>
          <w:sz w:val="20"/>
          <w:szCs w:val="20"/>
        </w:rPr>
        <w:lastRenderedPageBreak/>
        <w:t>MODELO DE MEDICIÓN Y REGISTRO DE EVENTOS DE RIESGO OPERACIONAL</w:t>
      </w:r>
      <w:r w:rsidRPr="00BC10E1" w:rsidDel="00E17E99">
        <w:rPr>
          <w:rFonts w:ascii="Verdana" w:hAnsi="Verdana" w:cs="Arial"/>
          <w:b/>
          <w:sz w:val="20"/>
          <w:szCs w:val="20"/>
        </w:rPr>
        <w:t xml:space="preserve"> </w:t>
      </w:r>
    </w:p>
    <w:p w14:paraId="59B943F0" w14:textId="77777777" w:rsidR="00517BEE" w:rsidRDefault="00517BEE" w:rsidP="00BC10E1">
      <w:pPr>
        <w:pStyle w:val="Textoindependiente"/>
        <w:tabs>
          <w:tab w:val="right" w:pos="360"/>
          <w:tab w:val="right" w:pos="540"/>
        </w:tabs>
        <w:rPr>
          <w:rFonts w:ascii="Verdana" w:hAnsi="Verdana" w:cs="Arial"/>
          <w:b/>
          <w:sz w:val="20"/>
        </w:rPr>
      </w:pPr>
    </w:p>
    <w:p w14:paraId="595C6BA3" w14:textId="7951FF3A" w:rsidR="002B3025" w:rsidRPr="00BC10E1" w:rsidRDefault="002B3025" w:rsidP="00BC10E1">
      <w:pPr>
        <w:pStyle w:val="Textoindependiente"/>
        <w:tabs>
          <w:tab w:val="right" w:pos="360"/>
          <w:tab w:val="right" w:pos="540"/>
        </w:tabs>
        <w:rPr>
          <w:rFonts w:ascii="Verdana" w:hAnsi="Verdana" w:cs="Arial"/>
          <w:b/>
          <w:sz w:val="20"/>
        </w:rPr>
      </w:pPr>
      <w:r w:rsidRPr="00BC10E1">
        <w:rPr>
          <w:rFonts w:ascii="Verdana" w:hAnsi="Verdana" w:cs="Arial"/>
          <w:b/>
          <w:sz w:val="20"/>
        </w:rPr>
        <w:t>Ámbito de aplicación</w:t>
      </w:r>
    </w:p>
    <w:p w14:paraId="499A3710" w14:textId="77777777" w:rsidR="002B3025" w:rsidRPr="002B3025" w:rsidRDefault="002B3025" w:rsidP="00B929BB">
      <w:pPr>
        <w:pStyle w:val="Textoindependiente"/>
        <w:rPr>
          <w:rFonts w:ascii="Verdana" w:hAnsi="Verdana" w:cs="Arial"/>
          <w:bCs/>
          <w:sz w:val="20"/>
        </w:rPr>
      </w:pPr>
    </w:p>
    <w:p w14:paraId="7999CDE7" w14:textId="38B1D209" w:rsidR="00BC10E1" w:rsidRPr="001C6CAB" w:rsidRDefault="00BC10E1" w:rsidP="00BC10E1">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AC73CE">
        <w:rPr>
          <w:rFonts w:ascii="Verdana" w:hAnsi="Verdana"/>
          <w:sz w:val="20"/>
          <w:szCs w:val="20"/>
        </w:rPr>
        <w:t>25</w:t>
      </w:r>
      <w:r w:rsidRPr="001C6CAB">
        <w:rPr>
          <w:rFonts w:ascii="Verdana" w:hAnsi="Verdana"/>
          <w:sz w:val="20"/>
          <w:szCs w:val="20"/>
        </w:rPr>
        <w:t>.</w:t>
      </w:r>
    </w:p>
    <w:p w14:paraId="3C3F3B67" w14:textId="21CB6A4E" w:rsidR="002B3025" w:rsidRPr="002B3025" w:rsidRDefault="002B3025" w:rsidP="00B929BB">
      <w:pPr>
        <w:pStyle w:val="Textoindependiente"/>
        <w:rPr>
          <w:rFonts w:ascii="Verdana" w:hAnsi="Verdana" w:cs="Arial"/>
          <w:bCs/>
          <w:sz w:val="20"/>
        </w:rPr>
      </w:pPr>
      <w:r w:rsidRPr="002B3025">
        <w:rPr>
          <w:rFonts w:ascii="Verdana" w:hAnsi="Verdana" w:cs="Arial"/>
          <w:bCs/>
          <w:sz w:val="20"/>
        </w:rPr>
        <w:t xml:space="preserve">Los EC y las entidades que administran activos de terceros deben implementar el modelo estándar de medición de riesgo operacional correspondiente y cumplir las medidas e </w:t>
      </w:r>
      <w:r w:rsidRPr="00B27CF9">
        <w:rPr>
          <w:rFonts w:ascii="Verdana" w:hAnsi="Verdana" w:cs="Arial"/>
          <w:bCs/>
          <w:sz w:val="20"/>
        </w:rPr>
        <w:t xml:space="preserve">instrucciones establecidas en la presente </w:t>
      </w:r>
      <w:r w:rsidR="00B27CF9">
        <w:rPr>
          <w:rFonts w:ascii="Verdana" w:hAnsi="Verdana" w:cs="Arial"/>
          <w:bCs/>
          <w:sz w:val="20"/>
        </w:rPr>
        <w:t>sección.</w:t>
      </w:r>
    </w:p>
    <w:p w14:paraId="60D6A90B" w14:textId="77777777" w:rsidR="002B3025" w:rsidRPr="002B3025" w:rsidRDefault="002B3025" w:rsidP="00B929BB">
      <w:pPr>
        <w:pStyle w:val="Textoindependiente"/>
        <w:rPr>
          <w:rFonts w:ascii="Verdana" w:hAnsi="Verdana" w:cs="Arial"/>
          <w:bCs/>
          <w:sz w:val="20"/>
        </w:rPr>
      </w:pPr>
    </w:p>
    <w:p w14:paraId="262007E7" w14:textId="6142AAB9" w:rsidR="002B3025" w:rsidRPr="00AC73CE" w:rsidRDefault="002B3025" w:rsidP="00551D66">
      <w:pPr>
        <w:pStyle w:val="Prrafodelista"/>
        <w:numPr>
          <w:ilvl w:val="0"/>
          <w:numId w:val="39"/>
        </w:numPr>
        <w:tabs>
          <w:tab w:val="left" w:pos="540"/>
        </w:tabs>
        <w:ind w:left="284" w:hanging="284"/>
        <w:jc w:val="both"/>
        <w:rPr>
          <w:rFonts w:ascii="Verdana" w:hAnsi="Verdana" w:cs="Arial"/>
          <w:b/>
          <w:sz w:val="20"/>
          <w:szCs w:val="20"/>
        </w:rPr>
      </w:pPr>
      <w:r w:rsidRPr="00AC73CE">
        <w:rPr>
          <w:rFonts w:ascii="Verdana" w:hAnsi="Verdana" w:cs="Arial"/>
          <w:b/>
          <w:sz w:val="20"/>
          <w:szCs w:val="20"/>
        </w:rPr>
        <w:t>Metodología estándar de medición aplicable a los EC</w:t>
      </w:r>
    </w:p>
    <w:p w14:paraId="19F7A6DB" w14:textId="25CC105C" w:rsidR="00D74CC7" w:rsidRPr="001C6CAB" w:rsidRDefault="00D74CC7" w:rsidP="00D74CC7">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AC73CE">
        <w:rPr>
          <w:rFonts w:ascii="Verdana" w:hAnsi="Verdana"/>
          <w:sz w:val="20"/>
          <w:szCs w:val="20"/>
        </w:rPr>
        <w:t>26</w:t>
      </w:r>
      <w:r w:rsidRPr="001C6CAB">
        <w:rPr>
          <w:rFonts w:ascii="Verdana" w:hAnsi="Verdana"/>
          <w:sz w:val="20"/>
          <w:szCs w:val="20"/>
        </w:rPr>
        <w:t>.</w:t>
      </w:r>
    </w:p>
    <w:p w14:paraId="5334CBBA" w14:textId="451B3CD2" w:rsidR="002B3025" w:rsidRPr="00D74CC7" w:rsidRDefault="002B3025" w:rsidP="00D74CC7">
      <w:pPr>
        <w:tabs>
          <w:tab w:val="left" w:pos="540"/>
        </w:tabs>
        <w:spacing w:after="0" w:line="240" w:lineRule="auto"/>
        <w:jc w:val="both"/>
        <w:rPr>
          <w:rFonts w:ascii="Verdana" w:hAnsi="Verdana" w:cs="Arial"/>
          <w:bCs/>
          <w:sz w:val="20"/>
          <w:szCs w:val="20"/>
        </w:rPr>
      </w:pPr>
      <w:r w:rsidRPr="00D74CC7">
        <w:rPr>
          <w:rFonts w:ascii="Verdana" w:hAnsi="Verdana" w:cs="Arial"/>
          <w:bCs/>
          <w:sz w:val="20"/>
          <w:szCs w:val="20"/>
        </w:rPr>
        <w:t>Los EC, los organismos cooperativos de grado superior de carácter financiero,</w:t>
      </w:r>
      <w:r w:rsidRPr="00D74CC7" w:rsidDel="004A1751">
        <w:rPr>
          <w:rFonts w:ascii="Verdana" w:hAnsi="Verdana" w:cs="Arial"/>
          <w:bCs/>
          <w:sz w:val="20"/>
          <w:szCs w:val="20"/>
        </w:rPr>
        <w:t xml:space="preserve"> </w:t>
      </w:r>
      <w:r w:rsidRPr="00D74CC7">
        <w:rPr>
          <w:rFonts w:ascii="Verdana" w:hAnsi="Verdana" w:cs="Arial"/>
          <w:bCs/>
          <w:sz w:val="20"/>
          <w:szCs w:val="20"/>
        </w:rPr>
        <w:t>Bancoldex, Caja Promotora de Vivienda Militar y de Policía, FDN, Findeter, FNA y</w:t>
      </w:r>
      <w:r w:rsidRPr="00D74CC7" w:rsidDel="004A1751">
        <w:rPr>
          <w:rFonts w:ascii="Verdana" w:hAnsi="Verdana" w:cs="Arial"/>
          <w:bCs/>
          <w:sz w:val="20"/>
          <w:szCs w:val="20"/>
        </w:rPr>
        <w:t xml:space="preserve"> </w:t>
      </w:r>
      <w:r w:rsidRPr="00D74CC7">
        <w:rPr>
          <w:rFonts w:ascii="Verdana" w:hAnsi="Verdana" w:cs="Arial"/>
          <w:bCs/>
          <w:sz w:val="20"/>
          <w:szCs w:val="20"/>
        </w:rPr>
        <w:t>Finagro deben cuantificar la exposición a los riesgos operacionales con cargo a</w:t>
      </w:r>
      <w:r w:rsidR="004A5AEF">
        <w:rPr>
          <w:rFonts w:ascii="Verdana" w:hAnsi="Verdana" w:cs="Arial"/>
          <w:bCs/>
          <w:sz w:val="20"/>
          <w:szCs w:val="20"/>
        </w:rPr>
        <w:t>l</w:t>
      </w:r>
      <w:r w:rsidRPr="00D74CC7">
        <w:rPr>
          <w:rFonts w:ascii="Verdana" w:hAnsi="Verdana" w:cs="Arial"/>
          <w:bCs/>
          <w:sz w:val="20"/>
          <w:szCs w:val="20"/>
        </w:rPr>
        <w:t xml:space="preserve"> capital </w:t>
      </w:r>
      <w:r w:rsidR="004A5AEF">
        <w:rPr>
          <w:rFonts w:ascii="Verdana" w:hAnsi="Verdana" w:cs="Arial"/>
          <w:bCs/>
          <w:sz w:val="20"/>
          <w:szCs w:val="20"/>
        </w:rPr>
        <w:t xml:space="preserve">regulatorio </w:t>
      </w:r>
      <w:r w:rsidRPr="00D74CC7">
        <w:rPr>
          <w:rFonts w:ascii="Verdana" w:hAnsi="Verdana" w:cs="Arial"/>
          <w:bCs/>
          <w:sz w:val="20"/>
          <w:szCs w:val="20"/>
        </w:rPr>
        <w:t xml:space="preserve">de acuerdo con los criterios </w:t>
      </w:r>
      <w:r w:rsidRPr="00B27CF9">
        <w:rPr>
          <w:rFonts w:ascii="Verdana" w:hAnsi="Verdana" w:cs="Arial"/>
          <w:bCs/>
          <w:sz w:val="20"/>
          <w:szCs w:val="20"/>
        </w:rPr>
        <w:t xml:space="preserve">señalados en el </w:t>
      </w:r>
      <w:r w:rsidR="00B27CF9" w:rsidRPr="00B27CF9">
        <w:rPr>
          <w:rFonts w:ascii="Verdana" w:hAnsi="Verdana" w:cs="Arial"/>
          <w:bCs/>
          <w:sz w:val="20"/>
          <w:szCs w:val="20"/>
        </w:rPr>
        <w:t>a</w:t>
      </w:r>
      <w:r w:rsidRPr="00B27CF9">
        <w:rPr>
          <w:rFonts w:ascii="Verdana" w:hAnsi="Verdana" w:cs="Arial"/>
          <w:bCs/>
          <w:sz w:val="20"/>
          <w:szCs w:val="20"/>
        </w:rPr>
        <w:t>nexo 13</w:t>
      </w:r>
      <w:r w:rsidR="005D5ED1">
        <w:rPr>
          <w:rFonts w:ascii="Verdana" w:hAnsi="Verdana" w:cs="Arial"/>
          <w:bCs/>
          <w:sz w:val="20"/>
          <w:szCs w:val="20"/>
        </w:rPr>
        <w:t xml:space="preserve"> </w:t>
      </w:r>
      <w:r w:rsidR="00B27CF9">
        <w:rPr>
          <w:rFonts w:ascii="Verdana" w:hAnsi="Verdana" w:cs="Arial"/>
          <w:bCs/>
          <w:sz w:val="20"/>
          <w:szCs w:val="20"/>
        </w:rPr>
        <w:t>del presente capítulo,</w:t>
      </w:r>
      <w:r w:rsidRPr="00D74CC7">
        <w:rPr>
          <w:rFonts w:ascii="Verdana" w:hAnsi="Verdana" w:cs="Arial"/>
          <w:bCs/>
          <w:sz w:val="20"/>
          <w:szCs w:val="20"/>
        </w:rPr>
        <w:t xml:space="preserve"> según las instrucciones que imparta la SFC para tal fin.</w:t>
      </w:r>
    </w:p>
    <w:p w14:paraId="2B7882AD" w14:textId="77777777" w:rsidR="002B3025" w:rsidRPr="002B3025" w:rsidRDefault="002B3025" w:rsidP="00D74CC7">
      <w:pPr>
        <w:tabs>
          <w:tab w:val="left" w:pos="540"/>
        </w:tabs>
        <w:contextualSpacing/>
        <w:jc w:val="both"/>
        <w:rPr>
          <w:rFonts w:ascii="Verdana" w:hAnsi="Verdana" w:cs="Arial"/>
          <w:bCs/>
          <w:sz w:val="20"/>
          <w:szCs w:val="20"/>
        </w:rPr>
      </w:pPr>
    </w:p>
    <w:p w14:paraId="40B0733D" w14:textId="02B757E0" w:rsidR="00D74CC7" w:rsidRPr="001C6CAB" w:rsidRDefault="00D74CC7" w:rsidP="00D74CC7">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AC73CE">
        <w:rPr>
          <w:rFonts w:ascii="Verdana" w:hAnsi="Verdana"/>
          <w:sz w:val="20"/>
          <w:szCs w:val="20"/>
        </w:rPr>
        <w:t>27</w:t>
      </w:r>
      <w:r w:rsidRPr="001C6CAB">
        <w:rPr>
          <w:rFonts w:ascii="Verdana" w:hAnsi="Verdana"/>
          <w:sz w:val="20"/>
          <w:szCs w:val="20"/>
        </w:rPr>
        <w:t>.</w:t>
      </w:r>
    </w:p>
    <w:p w14:paraId="0BA3C250" w14:textId="00537DF2" w:rsidR="00D74CC7" w:rsidRDefault="002B3025" w:rsidP="00AC73CE">
      <w:pPr>
        <w:tabs>
          <w:tab w:val="left" w:pos="540"/>
        </w:tabs>
        <w:spacing w:after="0" w:line="240" w:lineRule="auto"/>
        <w:jc w:val="both"/>
        <w:rPr>
          <w:rFonts w:ascii="Verdana" w:hAnsi="Verdana" w:cs="Arial"/>
          <w:bCs/>
          <w:sz w:val="20"/>
          <w:szCs w:val="20"/>
        </w:rPr>
      </w:pPr>
      <w:r w:rsidRPr="00D74CC7">
        <w:rPr>
          <w:rFonts w:ascii="Verdana" w:hAnsi="Verdana" w:cs="Arial"/>
          <w:bCs/>
          <w:sz w:val="20"/>
          <w:szCs w:val="20"/>
        </w:rPr>
        <w:t>Para el cálculo de</w:t>
      </w:r>
      <w:r w:rsidR="007352F7">
        <w:rPr>
          <w:rFonts w:ascii="Verdana" w:hAnsi="Verdana" w:cs="Arial"/>
          <w:bCs/>
          <w:sz w:val="20"/>
          <w:szCs w:val="20"/>
        </w:rPr>
        <w:t>l</w:t>
      </w:r>
      <w:r w:rsidRPr="00D74CC7">
        <w:rPr>
          <w:rFonts w:ascii="Verdana" w:hAnsi="Verdana" w:cs="Arial"/>
          <w:bCs/>
          <w:sz w:val="20"/>
          <w:szCs w:val="20"/>
        </w:rPr>
        <w:t xml:space="preserve"> patrimonio adecuado, las entidades deben </w:t>
      </w:r>
      <w:r w:rsidR="0085182F">
        <w:rPr>
          <w:rFonts w:ascii="Verdana" w:hAnsi="Verdana" w:cs="Arial"/>
          <w:bCs/>
          <w:sz w:val="20"/>
          <w:szCs w:val="20"/>
        </w:rPr>
        <w:t xml:space="preserve">determinar el valor de la exposición al riesgo operacional </w:t>
      </w:r>
      <w:r w:rsidRPr="008432AA">
        <w:rPr>
          <w:rFonts w:ascii="Verdana" w:hAnsi="Verdana" w:cs="Arial"/>
          <w:bCs/>
          <w:sz w:val="20"/>
          <w:szCs w:val="20"/>
        </w:rPr>
        <w:t>aplica</w:t>
      </w:r>
      <w:r w:rsidR="0085182F">
        <w:rPr>
          <w:rFonts w:ascii="Verdana" w:hAnsi="Verdana" w:cs="Arial"/>
          <w:bCs/>
          <w:sz w:val="20"/>
          <w:szCs w:val="20"/>
        </w:rPr>
        <w:t>ndo</w:t>
      </w:r>
      <w:r w:rsidRPr="008432AA">
        <w:rPr>
          <w:rFonts w:ascii="Verdana" w:hAnsi="Verdana" w:cs="Arial"/>
          <w:bCs/>
          <w:sz w:val="20"/>
          <w:szCs w:val="20"/>
        </w:rPr>
        <w:t xml:space="preserve"> las instrucciones del </w:t>
      </w:r>
      <w:r w:rsidR="008432AA" w:rsidRPr="008432AA">
        <w:rPr>
          <w:rFonts w:ascii="Verdana" w:hAnsi="Verdana" w:cs="Arial"/>
          <w:bCs/>
          <w:sz w:val="20"/>
          <w:szCs w:val="20"/>
        </w:rPr>
        <w:t>a</w:t>
      </w:r>
      <w:r w:rsidRPr="008432AA">
        <w:rPr>
          <w:rFonts w:ascii="Verdana" w:hAnsi="Verdana" w:cs="Arial"/>
          <w:bCs/>
          <w:sz w:val="20"/>
          <w:szCs w:val="20"/>
        </w:rPr>
        <w:t>nexo 13</w:t>
      </w:r>
      <w:r w:rsidR="008432AA" w:rsidRPr="008432AA">
        <w:rPr>
          <w:rFonts w:ascii="Verdana" w:hAnsi="Verdana" w:cs="Arial"/>
          <w:bCs/>
          <w:sz w:val="20"/>
          <w:szCs w:val="20"/>
        </w:rPr>
        <w:t xml:space="preserve"> del presente capítulo</w:t>
      </w:r>
      <w:r w:rsidRPr="008432AA">
        <w:rPr>
          <w:rFonts w:ascii="Verdana" w:hAnsi="Verdana" w:cs="Arial"/>
          <w:bCs/>
          <w:sz w:val="20"/>
          <w:szCs w:val="20"/>
        </w:rPr>
        <w:t xml:space="preserve"> a nive</w:t>
      </w:r>
      <w:r w:rsidRPr="00D74CC7">
        <w:rPr>
          <w:rFonts w:ascii="Verdana" w:hAnsi="Verdana" w:cs="Arial"/>
          <w:bCs/>
          <w:sz w:val="20"/>
          <w:szCs w:val="20"/>
        </w:rPr>
        <w:t xml:space="preserve">l individual y consolidado. </w:t>
      </w:r>
    </w:p>
    <w:p w14:paraId="5A0C20C7" w14:textId="77777777" w:rsidR="00AC73CE" w:rsidRDefault="00AC73CE" w:rsidP="00AC73CE">
      <w:pPr>
        <w:tabs>
          <w:tab w:val="left" w:pos="540"/>
        </w:tabs>
        <w:spacing w:after="0" w:line="240" w:lineRule="auto"/>
        <w:jc w:val="both"/>
        <w:rPr>
          <w:rFonts w:ascii="Verdana" w:hAnsi="Verdana" w:cs="Arial"/>
          <w:bCs/>
          <w:sz w:val="20"/>
          <w:szCs w:val="20"/>
        </w:rPr>
      </w:pPr>
    </w:p>
    <w:p w14:paraId="3BFB896E" w14:textId="2BDD3B8F" w:rsidR="002B3025" w:rsidRPr="00AC73CE" w:rsidRDefault="002B3025" w:rsidP="00551D66">
      <w:pPr>
        <w:pStyle w:val="Prrafodelista"/>
        <w:numPr>
          <w:ilvl w:val="0"/>
          <w:numId w:val="39"/>
        </w:numPr>
        <w:ind w:left="284" w:hanging="284"/>
        <w:jc w:val="both"/>
        <w:rPr>
          <w:rFonts w:ascii="Verdana" w:hAnsi="Verdana" w:cs="Arial"/>
          <w:b/>
          <w:sz w:val="20"/>
          <w:szCs w:val="20"/>
        </w:rPr>
      </w:pPr>
      <w:r w:rsidRPr="00AC73CE">
        <w:rPr>
          <w:rFonts w:ascii="Verdana" w:hAnsi="Verdana" w:cs="Arial"/>
          <w:b/>
          <w:sz w:val="20"/>
          <w:szCs w:val="20"/>
        </w:rPr>
        <w:t>Metodología de determinación del factor de ponderación para el cálculo del valor de la exposición por riesgo operacional de las entidades que administran activos de terceros</w:t>
      </w:r>
    </w:p>
    <w:p w14:paraId="49E1E48A" w14:textId="3A537909" w:rsidR="003A3881" w:rsidRPr="001C6CAB" w:rsidRDefault="003A3881" w:rsidP="003A3881">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AC73CE">
        <w:rPr>
          <w:rFonts w:ascii="Verdana" w:hAnsi="Verdana"/>
          <w:sz w:val="20"/>
          <w:szCs w:val="20"/>
        </w:rPr>
        <w:t>28</w:t>
      </w:r>
      <w:r w:rsidRPr="001C6CAB">
        <w:rPr>
          <w:rFonts w:ascii="Verdana" w:hAnsi="Verdana"/>
          <w:sz w:val="20"/>
          <w:szCs w:val="20"/>
        </w:rPr>
        <w:t>.</w:t>
      </w:r>
    </w:p>
    <w:p w14:paraId="53685865" w14:textId="60C61093" w:rsidR="002B3025" w:rsidRPr="003A3881" w:rsidRDefault="002B3025" w:rsidP="003A3881">
      <w:pPr>
        <w:tabs>
          <w:tab w:val="left" w:pos="540"/>
        </w:tabs>
        <w:spacing w:after="0" w:line="240" w:lineRule="auto"/>
        <w:jc w:val="both"/>
        <w:rPr>
          <w:rFonts w:ascii="Verdana" w:hAnsi="Verdana" w:cs="Arial"/>
          <w:bCs/>
          <w:sz w:val="20"/>
          <w:szCs w:val="20"/>
        </w:rPr>
      </w:pPr>
      <w:r w:rsidRPr="003A3881">
        <w:rPr>
          <w:rFonts w:ascii="Verdana" w:hAnsi="Verdana" w:cs="Arial"/>
          <w:bCs/>
          <w:sz w:val="20"/>
          <w:szCs w:val="20"/>
        </w:rPr>
        <w:t xml:space="preserve">Deben determinar el factor de ponderación para el cálculo del valor de la exposición por riesgo operacional las sociedades fiduciarias, las sociedades administradoras de fondos de pensiones y cesantías, las sociedades comisionistas de bolsa de valores, las sociedades administradoras de inversión y las entidades aseguradoras, en virtud de lo establecido en </w:t>
      </w:r>
      <w:r w:rsidRPr="00661147">
        <w:rPr>
          <w:rFonts w:ascii="Verdana" w:hAnsi="Verdana" w:cs="Arial"/>
          <w:bCs/>
          <w:sz w:val="20"/>
          <w:szCs w:val="20"/>
          <w:lang w:val="es-MX"/>
        </w:rPr>
        <w:t>el Decreto 2555 de 2010 en</w:t>
      </w:r>
      <w:r w:rsidRPr="003A3881">
        <w:rPr>
          <w:rFonts w:ascii="Verdana" w:hAnsi="Verdana" w:cs="Arial"/>
          <w:bCs/>
          <w:sz w:val="20"/>
          <w:szCs w:val="20"/>
          <w:lang w:val="es-MX"/>
        </w:rPr>
        <w:t xml:space="preserve"> lo relacionado con el patrimonio adecuado de dichas entidades.</w:t>
      </w:r>
    </w:p>
    <w:p w14:paraId="6513EFA8" w14:textId="77777777" w:rsidR="002B3025" w:rsidRPr="002B3025" w:rsidRDefault="002B3025" w:rsidP="00B929BB">
      <w:pPr>
        <w:tabs>
          <w:tab w:val="left" w:pos="540"/>
        </w:tabs>
        <w:contextualSpacing/>
        <w:jc w:val="both"/>
        <w:rPr>
          <w:rFonts w:ascii="Verdana" w:hAnsi="Verdana" w:cs="Arial"/>
          <w:bCs/>
          <w:sz w:val="20"/>
          <w:szCs w:val="20"/>
        </w:rPr>
      </w:pPr>
    </w:p>
    <w:p w14:paraId="60199AA8" w14:textId="2C19A356" w:rsidR="003A3881" w:rsidRPr="001C6CAB" w:rsidRDefault="003A3881" w:rsidP="003A3881">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AC73CE">
        <w:rPr>
          <w:rFonts w:ascii="Verdana" w:hAnsi="Verdana"/>
          <w:sz w:val="20"/>
          <w:szCs w:val="20"/>
        </w:rPr>
        <w:t>29</w:t>
      </w:r>
      <w:r w:rsidRPr="001C6CAB">
        <w:rPr>
          <w:rFonts w:ascii="Verdana" w:hAnsi="Verdana"/>
          <w:sz w:val="20"/>
          <w:szCs w:val="20"/>
        </w:rPr>
        <w:t>.</w:t>
      </w:r>
    </w:p>
    <w:p w14:paraId="48DDFF7C" w14:textId="376EB976" w:rsidR="002B3025" w:rsidRPr="003A3881" w:rsidRDefault="002B3025" w:rsidP="12B437D6">
      <w:pPr>
        <w:tabs>
          <w:tab w:val="left" w:pos="540"/>
        </w:tabs>
        <w:spacing w:after="0" w:line="240" w:lineRule="auto"/>
        <w:jc w:val="both"/>
        <w:rPr>
          <w:rFonts w:ascii="Verdana" w:hAnsi="Verdana" w:cs="Arial"/>
          <w:sz w:val="20"/>
          <w:szCs w:val="20"/>
        </w:rPr>
      </w:pPr>
      <w:r w:rsidRPr="12B437D6">
        <w:rPr>
          <w:rFonts w:ascii="Verdana" w:hAnsi="Verdana" w:cs="Arial"/>
          <w:sz w:val="20"/>
          <w:szCs w:val="20"/>
        </w:rPr>
        <w:t xml:space="preserve">Los artículos </w:t>
      </w:r>
      <w:r w:rsidRPr="00661147">
        <w:rPr>
          <w:rFonts w:ascii="Verdana" w:hAnsi="Verdana" w:cs="Arial"/>
          <w:sz w:val="20"/>
          <w:szCs w:val="20"/>
        </w:rPr>
        <w:t>2.5.3.1.13., 2.6.1.1.7., 2.9.1.1.13. y 2.31.1.2.5. del Decreto 2555 de 2010,</w:t>
      </w:r>
      <w:r w:rsidRPr="12B437D6">
        <w:rPr>
          <w:rFonts w:ascii="Verdana" w:hAnsi="Verdana" w:cs="Arial"/>
          <w:sz w:val="20"/>
          <w:szCs w:val="20"/>
        </w:rPr>
        <w:t xml:space="preserve"> y las demás normas que los modifiquen o sustituyan, establecen el 16% como factor de ponderación para el cálculo del valor de la exposición por riesgo operacional, y señalan la posibilidad de disminuir este factor de manera diferencial hasta un 12%, conforme a los criterios que de manera específica determine la SFC.</w:t>
      </w:r>
    </w:p>
    <w:p w14:paraId="054F3BCF" w14:textId="77777777" w:rsidR="003A3881" w:rsidRDefault="003A3881" w:rsidP="003A3881">
      <w:pPr>
        <w:tabs>
          <w:tab w:val="left" w:pos="540"/>
        </w:tabs>
        <w:spacing w:after="0" w:line="240" w:lineRule="auto"/>
        <w:jc w:val="both"/>
        <w:rPr>
          <w:rFonts w:ascii="Verdana" w:hAnsi="Verdana" w:cs="Arial"/>
          <w:bCs/>
          <w:sz w:val="20"/>
          <w:szCs w:val="20"/>
        </w:rPr>
      </w:pPr>
    </w:p>
    <w:p w14:paraId="63B09A18" w14:textId="6FEF9B4C" w:rsidR="003A3881" w:rsidRPr="001C6CAB" w:rsidRDefault="003A3881" w:rsidP="003A3881">
      <w:pPr>
        <w:spacing w:after="0"/>
        <w:rPr>
          <w:rFonts w:ascii="Verdana" w:hAnsi="Verdana"/>
          <w:sz w:val="20"/>
          <w:szCs w:val="20"/>
        </w:rPr>
      </w:pPr>
      <w:r w:rsidRPr="001C6CAB">
        <w:rPr>
          <w:rFonts w:ascii="Verdana" w:hAnsi="Verdana"/>
          <w:sz w:val="20"/>
          <w:szCs w:val="20"/>
        </w:rPr>
        <w:t>1.1.3.</w:t>
      </w:r>
      <w:r>
        <w:rPr>
          <w:rFonts w:ascii="Verdana" w:hAnsi="Verdana"/>
          <w:sz w:val="20"/>
          <w:szCs w:val="20"/>
        </w:rPr>
        <w:t>13</w:t>
      </w:r>
      <w:r w:rsidR="00AC73CE">
        <w:rPr>
          <w:rFonts w:ascii="Verdana" w:hAnsi="Verdana"/>
          <w:sz w:val="20"/>
          <w:szCs w:val="20"/>
        </w:rPr>
        <w:t>0</w:t>
      </w:r>
      <w:r w:rsidRPr="001C6CAB">
        <w:rPr>
          <w:rFonts w:ascii="Verdana" w:hAnsi="Verdana"/>
          <w:sz w:val="20"/>
          <w:szCs w:val="20"/>
        </w:rPr>
        <w:t>.</w:t>
      </w:r>
    </w:p>
    <w:p w14:paraId="7C52E513" w14:textId="63C47A93" w:rsidR="002B3025" w:rsidRPr="003A3881" w:rsidRDefault="002B3025" w:rsidP="003A3881">
      <w:pPr>
        <w:tabs>
          <w:tab w:val="left" w:pos="540"/>
        </w:tabs>
        <w:spacing w:after="0" w:line="240" w:lineRule="auto"/>
        <w:jc w:val="both"/>
        <w:rPr>
          <w:rFonts w:ascii="Verdana" w:hAnsi="Verdana" w:cs="Arial"/>
          <w:bCs/>
          <w:sz w:val="20"/>
          <w:szCs w:val="20"/>
        </w:rPr>
      </w:pPr>
      <w:r w:rsidRPr="003A3881">
        <w:rPr>
          <w:rFonts w:ascii="Verdana" w:hAnsi="Verdana" w:cs="Arial"/>
          <w:bCs/>
          <w:sz w:val="20"/>
          <w:szCs w:val="20"/>
        </w:rPr>
        <w:t>Con el propósito de establecer los mencionados criterios, esta Superintendencia diseñó la “</w:t>
      </w:r>
      <w:r w:rsidRPr="003A3881">
        <w:rPr>
          <w:rFonts w:ascii="Verdana" w:hAnsi="Verdana" w:cs="Arial"/>
          <w:bCs/>
          <w:i/>
          <w:iCs/>
          <w:sz w:val="20"/>
          <w:szCs w:val="20"/>
        </w:rPr>
        <w:t>Autoevaluación para Determinar el Factor de Ponderación para el Cálculo del Valor de la Exposición por Riesgo Operacional</w:t>
      </w:r>
      <w:r w:rsidRPr="003A3881">
        <w:rPr>
          <w:rFonts w:ascii="Verdana" w:hAnsi="Verdana" w:cs="Arial"/>
          <w:bCs/>
          <w:sz w:val="20"/>
          <w:szCs w:val="20"/>
        </w:rPr>
        <w:t xml:space="preserve">”, que debe ser aprobada por el Comité de Auditoría Interna de las </w:t>
      </w:r>
      <w:r w:rsidRPr="009E1FDF">
        <w:rPr>
          <w:rFonts w:ascii="Verdana" w:hAnsi="Verdana" w:cs="Arial"/>
          <w:bCs/>
          <w:sz w:val="20"/>
          <w:szCs w:val="20"/>
        </w:rPr>
        <w:t xml:space="preserve">entidades y que se relaciona en el </w:t>
      </w:r>
      <w:r w:rsidR="009E1FDF" w:rsidRPr="009E1FDF">
        <w:rPr>
          <w:rFonts w:ascii="Verdana" w:hAnsi="Verdana" w:cs="Arial"/>
          <w:bCs/>
          <w:sz w:val="20"/>
          <w:szCs w:val="20"/>
        </w:rPr>
        <w:t>a</w:t>
      </w:r>
      <w:r w:rsidRPr="009E1FDF">
        <w:rPr>
          <w:rFonts w:ascii="Verdana" w:hAnsi="Verdana" w:cs="Arial"/>
          <w:bCs/>
          <w:sz w:val="20"/>
          <w:szCs w:val="20"/>
        </w:rPr>
        <w:t>nexo 14</w:t>
      </w:r>
      <w:r w:rsidR="009E1FDF">
        <w:rPr>
          <w:rFonts w:ascii="Verdana" w:hAnsi="Verdana" w:cs="Arial"/>
          <w:bCs/>
          <w:sz w:val="20"/>
          <w:szCs w:val="20"/>
        </w:rPr>
        <w:t xml:space="preserve"> del presente capítulo.</w:t>
      </w:r>
    </w:p>
    <w:p w14:paraId="132AFABF" w14:textId="77777777" w:rsidR="002B3025" w:rsidRDefault="002B3025" w:rsidP="00B929BB">
      <w:pPr>
        <w:contextualSpacing/>
        <w:rPr>
          <w:rFonts w:ascii="Verdana" w:hAnsi="Verdana" w:cs="Arial"/>
          <w:bCs/>
          <w:sz w:val="20"/>
          <w:szCs w:val="20"/>
        </w:rPr>
      </w:pPr>
    </w:p>
    <w:p w14:paraId="64165545" w14:textId="1086971C" w:rsidR="0092654A" w:rsidRPr="0092654A" w:rsidRDefault="0092654A" w:rsidP="00B42F68">
      <w:pPr>
        <w:spacing w:after="0"/>
        <w:jc w:val="both"/>
        <w:rPr>
          <w:rFonts w:ascii="Verdana" w:hAnsi="Verdana"/>
          <w:sz w:val="20"/>
          <w:szCs w:val="20"/>
        </w:rPr>
      </w:pPr>
      <w:r w:rsidRPr="001C6CAB">
        <w:rPr>
          <w:rFonts w:ascii="Verdana" w:hAnsi="Verdana"/>
          <w:sz w:val="20"/>
          <w:szCs w:val="20"/>
        </w:rPr>
        <w:t>1.1.3.</w:t>
      </w:r>
      <w:r>
        <w:rPr>
          <w:rFonts w:ascii="Verdana" w:hAnsi="Verdana"/>
          <w:sz w:val="20"/>
          <w:szCs w:val="20"/>
        </w:rPr>
        <w:t>131</w:t>
      </w:r>
      <w:r w:rsidRPr="001C6CAB">
        <w:rPr>
          <w:rFonts w:ascii="Verdana" w:hAnsi="Verdana"/>
          <w:sz w:val="20"/>
          <w:szCs w:val="20"/>
        </w:rPr>
        <w:t>.</w:t>
      </w:r>
    </w:p>
    <w:p w14:paraId="5379E82C" w14:textId="4E728B24" w:rsidR="0092654A" w:rsidRPr="002B3025" w:rsidRDefault="0092654A" w:rsidP="00B42F68">
      <w:pPr>
        <w:contextualSpacing/>
        <w:jc w:val="both"/>
        <w:rPr>
          <w:rFonts w:ascii="Verdana" w:hAnsi="Verdana" w:cs="Arial"/>
          <w:bCs/>
          <w:sz w:val="20"/>
          <w:szCs w:val="20"/>
        </w:rPr>
      </w:pPr>
      <w:r w:rsidRPr="0092654A">
        <w:rPr>
          <w:rFonts w:ascii="Verdana" w:hAnsi="Verdana" w:cs="Arial"/>
          <w:bCs/>
          <w:sz w:val="20"/>
          <w:szCs w:val="20"/>
        </w:rPr>
        <w:t xml:space="preserve">El factor de ponderación obtenido en la </w:t>
      </w:r>
      <w:r w:rsidR="00F4009E">
        <w:rPr>
          <w:rFonts w:ascii="Verdana" w:hAnsi="Verdana" w:cs="Arial"/>
          <w:bCs/>
          <w:sz w:val="20"/>
          <w:szCs w:val="20"/>
        </w:rPr>
        <w:t>a</w:t>
      </w:r>
      <w:r w:rsidRPr="0092654A">
        <w:rPr>
          <w:rFonts w:ascii="Verdana" w:hAnsi="Verdana" w:cs="Arial"/>
          <w:bCs/>
          <w:sz w:val="20"/>
          <w:szCs w:val="20"/>
        </w:rPr>
        <w:t xml:space="preserve">utoevaluación </w:t>
      </w:r>
      <w:r w:rsidR="00F4009E">
        <w:rPr>
          <w:rFonts w:ascii="Verdana" w:hAnsi="Verdana" w:cs="Arial"/>
          <w:bCs/>
          <w:sz w:val="20"/>
          <w:szCs w:val="20"/>
        </w:rPr>
        <w:t xml:space="preserve">antes señalada </w:t>
      </w:r>
      <w:r w:rsidRPr="0092654A">
        <w:rPr>
          <w:rFonts w:ascii="Verdana" w:hAnsi="Verdana" w:cs="Arial"/>
          <w:bCs/>
          <w:sz w:val="20"/>
          <w:szCs w:val="20"/>
        </w:rPr>
        <w:t>debe ser utilizado para la determinación del valor de la exposición por riesgo operacional a la que se refiere el Decreto 2555 de 2010 y, en consecuencia, para la determinación de la relación de solvencia.</w:t>
      </w:r>
    </w:p>
    <w:p w14:paraId="0B8DA594" w14:textId="77777777" w:rsidR="0092654A" w:rsidRDefault="0092654A" w:rsidP="003A3881">
      <w:pPr>
        <w:spacing w:after="0"/>
        <w:rPr>
          <w:rFonts w:ascii="Verdana" w:hAnsi="Verdana"/>
          <w:sz w:val="20"/>
          <w:szCs w:val="20"/>
        </w:rPr>
      </w:pPr>
    </w:p>
    <w:p w14:paraId="6422158F" w14:textId="7393A4C8" w:rsidR="003A3881" w:rsidRPr="001C6CAB" w:rsidRDefault="003A3881" w:rsidP="003A3881">
      <w:pPr>
        <w:spacing w:after="0"/>
        <w:rPr>
          <w:rFonts w:ascii="Verdana" w:hAnsi="Verdana"/>
          <w:sz w:val="20"/>
          <w:szCs w:val="20"/>
        </w:rPr>
      </w:pPr>
      <w:r w:rsidRPr="001C6CAB">
        <w:rPr>
          <w:rFonts w:ascii="Verdana" w:hAnsi="Verdana"/>
          <w:sz w:val="20"/>
          <w:szCs w:val="20"/>
        </w:rPr>
        <w:t>1.1.3.</w:t>
      </w:r>
      <w:r>
        <w:rPr>
          <w:rFonts w:ascii="Verdana" w:hAnsi="Verdana"/>
          <w:sz w:val="20"/>
          <w:szCs w:val="20"/>
        </w:rPr>
        <w:t>13</w:t>
      </w:r>
      <w:r w:rsidR="0092654A">
        <w:rPr>
          <w:rFonts w:ascii="Verdana" w:hAnsi="Verdana"/>
          <w:sz w:val="20"/>
          <w:szCs w:val="20"/>
        </w:rPr>
        <w:t>2</w:t>
      </w:r>
      <w:r w:rsidRPr="001C6CAB">
        <w:rPr>
          <w:rFonts w:ascii="Verdana" w:hAnsi="Verdana"/>
          <w:sz w:val="20"/>
          <w:szCs w:val="20"/>
        </w:rPr>
        <w:t>.</w:t>
      </w:r>
    </w:p>
    <w:p w14:paraId="72E23A24" w14:textId="4424325A" w:rsidR="002B3025" w:rsidRPr="003A3881" w:rsidRDefault="002B3025" w:rsidP="003A3881">
      <w:pPr>
        <w:tabs>
          <w:tab w:val="left" w:pos="540"/>
        </w:tabs>
        <w:spacing w:after="0" w:line="240" w:lineRule="auto"/>
        <w:jc w:val="both"/>
        <w:rPr>
          <w:rFonts w:ascii="Verdana" w:hAnsi="Verdana" w:cs="Arial"/>
          <w:bCs/>
          <w:sz w:val="20"/>
          <w:szCs w:val="20"/>
        </w:rPr>
      </w:pPr>
      <w:r w:rsidRPr="003A3881">
        <w:rPr>
          <w:rFonts w:ascii="Verdana" w:hAnsi="Verdana" w:cs="Arial"/>
          <w:bCs/>
          <w:sz w:val="20"/>
          <w:szCs w:val="20"/>
        </w:rPr>
        <w:t>El cálculo de la relación de solvencia y la “Autoevaluación para Determinar el Factor de Ponderación para el Cálculo del Valor de la Exposición por Riesgo Operacional” deben estar a disposición de la SFC cuando esta lo requiera.</w:t>
      </w:r>
    </w:p>
    <w:p w14:paraId="13067ADA" w14:textId="77777777" w:rsidR="002B3DE5" w:rsidRPr="002B3025" w:rsidRDefault="002B3DE5" w:rsidP="00B929BB">
      <w:pPr>
        <w:tabs>
          <w:tab w:val="left" w:pos="540"/>
        </w:tabs>
        <w:contextualSpacing/>
        <w:jc w:val="both"/>
        <w:rPr>
          <w:rFonts w:ascii="Verdana" w:hAnsi="Verdana" w:cs="Arial"/>
          <w:bCs/>
          <w:sz w:val="20"/>
          <w:szCs w:val="20"/>
        </w:rPr>
      </w:pPr>
    </w:p>
    <w:p w14:paraId="4769B4F9" w14:textId="505A678D" w:rsidR="003A3881" w:rsidRPr="001C6CAB" w:rsidRDefault="003A3881" w:rsidP="003A3881">
      <w:pPr>
        <w:spacing w:after="0"/>
        <w:rPr>
          <w:rFonts w:ascii="Verdana" w:hAnsi="Verdana"/>
          <w:sz w:val="20"/>
          <w:szCs w:val="20"/>
        </w:rPr>
      </w:pPr>
      <w:r w:rsidRPr="001C6CAB">
        <w:rPr>
          <w:rFonts w:ascii="Verdana" w:hAnsi="Verdana"/>
          <w:sz w:val="20"/>
          <w:szCs w:val="20"/>
        </w:rPr>
        <w:t>1.1.3.</w:t>
      </w:r>
      <w:r>
        <w:rPr>
          <w:rFonts w:ascii="Verdana" w:hAnsi="Verdana"/>
          <w:sz w:val="20"/>
          <w:szCs w:val="20"/>
        </w:rPr>
        <w:t>13</w:t>
      </w:r>
      <w:r w:rsidR="00B42F68">
        <w:rPr>
          <w:rFonts w:ascii="Verdana" w:hAnsi="Verdana"/>
          <w:sz w:val="20"/>
          <w:szCs w:val="20"/>
        </w:rPr>
        <w:t>3</w:t>
      </w:r>
      <w:r w:rsidR="00E14F4B">
        <w:rPr>
          <w:rFonts w:ascii="Verdana" w:hAnsi="Verdana"/>
          <w:sz w:val="20"/>
          <w:szCs w:val="20"/>
        </w:rPr>
        <w:t>.</w:t>
      </w:r>
    </w:p>
    <w:p w14:paraId="47FB072E" w14:textId="52B80D92" w:rsidR="00AC73CE" w:rsidRDefault="002B3025" w:rsidP="00B42F68">
      <w:pPr>
        <w:tabs>
          <w:tab w:val="left" w:pos="540"/>
        </w:tabs>
        <w:spacing w:after="0" w:line="240" w:lineRule="auto"/>
        <w:jc w:val="both"/>
        <w:rPr>
          <w:rFonts w:ascii="Verdana" w:hAnsi="Verdana" w:cs="Arial"/>
          <w:bCs/>
          <w:sz w:val="20"/>
          <w:szCs w:val="20"/>
        </w:rPr>
      </w:pPr>
      <w:r w:rsidRPr="003A3881">
        <w:rPr>
          <w:rFonts w:ascii="Verdana" w:hAnsi="Verdana" w:cs="Arial"/>
          <w:bCs/>
          <w:sz w:val="20"/>
          <w:szCs w:val="20"/>
        </w:rPr>
        <w:t xml:space="preserve">Para el correcto diligenciamiento de la mencionada </w:t>
      </w:r>
      <w:r w:rsidR="001D6DEE">
        <w:rPr>
          <w:rFonts w:ascii="Verdana" w:hAnsi="Verdana" w:cs="Arial"/>
          <w:bCs/>
          <w:sz w:val="20"/>
          <w:szCs w:val="20"/>
        </w:rPr>
        <w:t>a</w:t>
      </w:r>
      <w:r w:rsidRPr="003A3881">
        <w:rPr>
          <w:rFonts w:ascii="Verdana" w:hAnsi="Verdana" w:cs="Arial"/>
          <w:bCs/>
          <w:sz w:val="20"/>
          <w:szCs w:val="20"/>
        </w:rPr>
        <w:t xml:space="preserve">utoevaluación, las entidades deben atender lo dispuesto en el correspondiente instructivo relacionado en el </w:t>
      </w:r>
      <w:r w:rsidR="00AC73CE">
        <w:rPr>
          <w:rFonts w:ascii="Verdana" w:hAnsi="Verdana" w:cs="Arial"/>
          <w:bCs/>
          <w:sz w:val="20"/>
          <w:szCs w:val="20"/>
        </w:rPr>
        <w:t>a</w:t>
      </w:r>
      <w:r w:rsidRPr="003A3881">
        <w:rPr>
          <w:rFonts w:ascii="Verdana" w:hAnsi="Verdana" w:cs="Arial"/>
          <w:bCs/>
          <w:sz w:val="20"/>
          <w:szCs w:val="20"/>
        </w:rPr>
        <w:t>nexo 14.</w:t>
      </w:r>
    </w:p>
    <w:p w14:paraId="18D1056D" w14:textId="77777777" w:rsidR="00B42F68" w:rsidRPr="002B3025" w:rsidRDefault="00B42F68" w:rsidP="00B42F68">
      <w:pPr>
        <w:tabs>
          <w:tab w:val="left" w:pos="540"/>
        </w:tabs>
        <w:spacing w:after="0" w:line="240" w:lineRule="auto"/>
        <w:jc w:val="both"/>
        <w:rPr>
          <w:rFonts w:ascii="Verdana" w:hAnsi="Verdana" w:cs="Arial"/>
          <w:bCs/>
          <w:sz w:val="20"/>
          <w:szCs w:val="20"/>
        </w:rPr>
      </w:pPr>
    </w:p>
    <w:p w14:paraId="402E99E1" w14:textId="3AF17339" w:rsidR="002B3025" w:rsidRDefault="002B3025" w:rsidP="00AC73CE">
      <w:pPr>
        <w:pStyle w:val="Textoindependiente"/>
        <w:rPr>
          <w:rFonts w:ascii="Verdana" w:hAnsi="Verdana" w:cs="Arial"/>
          <w:b/>
          <w:sz w:val="20"/>
        </w:rPr>
      </w:pPr>
      <w:r w:rsidRPr="003A3881">
        <w:rPr>
          <w:rFonts w:ascii="Verdana" w:hAnsi="Verdana" w:cs="Arial"/>
          <w:b/>
          <w:sz w:val="20"/>
        </w:rPr>
        <w:lastRenderedPageBreak/>
        <w:t>Registro de eventos de riesgo operacional</w:t>
      </w:r>
    </w:p>
    <w:p w14:paraId="754AAAC1" w14:textId="77777777" w:rsidR="00AC73CE" w:rsidRPr="00AC73CE" w:rsidRDefault="00AC73CE" w:rsidP="00AC73CE">
      <w:pPr>
        <w:pStyle w:val="Textoindependiente"/>
        <w:rPr>
          <w:rFonts w:ascii="Verdana" w:hAnsi="Verdana" w:cs="Arial"/>
          <w:b/>
          <w:sz w:val="20"/>
        </w:rPr>
      </w:pPr>
    </w:p>
    <w:p w14:paraId="2E5AD954" w14:textId="2F5EC91B" w:rsidR="003A3881" w:rsidRPr="001C6CAB" w:rsidRDefault="003A3881" w:rsidP="003A3881">
      <w:pPr>
        <w:spacing w:after="0"/>
        <w:rPr>
          <w:rFonts w:ascii="Verdana" w:hAnsi="Verdana"/>
          <w:sz w:val="20"/>
          <w:szCs w:val="20"/>
        </w:rPr>
      </w:pPr>
      <w:r w:rsidRPr="001C6CAB">
        <w:rPr>
          <w:rFonts w:ascii="Verdana" w:hAnsi="Verdana"/>
          <w:sz w:val="20"/>
          <w:szCs w:val="20"/>
        </w:rPr>
        <w:t>1.1.3.</w:t>
      </w:r>
      <w:r>
        <w:rPr>
          <w:rFonts w:ascii="Verdana" w:hAnsi="Verdana"/>
          <w:sz w:val="20"/>
          <w:szCs w:val="20"/>
        </w:rPr>
        <w:t>13</w:t>
      </w:r>
      <w:r w:rsidR="00B42F68">
        <w:rPr>
          <w:rFonts w:ascii="Verdana" w:hAnsi="Verdana"/>
          <w:sz w:val="20"/>
          <w:szCs w:val="20"/>
        </w:rPr>
        <w:t>4</w:t>
      </w:r>
      <w:r w:rsidRPr="001C6CAB">
        <w:rPr>
          <w:rFonts w:ascii="Verdana" w:hAnsi="Verdana"/>
          <w:sz w:val="20"/>
          <w:szCs w:val="20"/>
        </w:rPr>
        <w:t>.</w:t>
      </w:r>
    </w:p>
    <w:p w14:paraId="55B78BFD" w14:textId="0A0B0E98" w:rsidR="002B3025" w:rsidRPr="002B3025" w:rsidRDefault="002B3025" w:rsidP="00AC73CE">
      <w:pPr>
        <w:tabs>
          <w:tab w:val="left" w:pos="540"/>
        </w:tabs>
        <w:jc w:val="both"/>
        <w:rPr>
          <w:rFonts w:ascii="Verdana" w:hAnsi="Verdana" w:cs="Arial"/>
          <w:bCs/>
          <w:sz w:val="20"/>
          <w:szCs w:val="20"/>
        </w:rPr>
      </w:pPr>
      <w:r w:rsidRPr="002B3025">
        <w:rPr>
          <w:rFonts w:ascii="Verdana" w:hAnsi="Verdana" w:cs="Arial"/>
          <w:bCs/>
          <w:sz w:val="20"/>
          <w:szCs w:val="20"/>
        </w:rPr>
        <w:t xml:space="preserve">Todas las entidades sometidas a la inspección y vigilancia de la SFC, con excepción de las oficinas de </w:t>
      </w:r>
      <w:r w:rsidR="00904807">
        <w:rPr>
          <w:rFonts w:ascii="Verdana" w:hAnsi="Verdana" w:cs="Arial"/>
          <w:bCs/>
          <w:sz w:val="20"/>
          <w:szCs w:val="20"/>
        </w:rPr>
        <w:t>r</w:t>
      </w:r>
      <w:r w:rsidRPr="002B3025">
        <w:rPr>
          <w:rFonts w:ascii="Verdana" w:hAnsi="Verdana" w:cs="Arial"/>
          <w:bCs/>
          <w:sz w:val="20"/>
          <w:szCs w:val="20"/>
        </w:rPr>
        <w:t xml:space="preserve">epresentación de instituciones financieras y reaseguradoras del exterior, deben cumplir las instrucciones </w:t>
      </w:r>
      <w:r w:rsidR="00930F86">
        <w:rPr>
          <w:rFonts w:ascii="Verdana" w:hAnsi="Verdana" w:cs="Arial"/>
          <w:bCs/>
          <w:sz w:val="20"/>
          <w:szCs w:val="20"/>
        </w:rPr>
        <w:t xml:space="preserve">para el registro de eventos de riesgo operacional </w:t>
      </w:r>
      <w:r w:rsidR="0074779C">
        <w:rPr>
          <w:rFonts w:ascii="Verdana" w:hAnsi="Verdana" w:cs="Arial"/>
          <w:bCs/>
          <w:sz w:val="20"/>
          <w:szCs w:val="20"/>
        </w:rPr>
        <w:t xml:space="preserve">señaladas </w:t>
      </w:r>
      <w:r w:rsidR="00043B60">
        <w:rPr>
          <w:rFonts w:ascii="Verdana" w:hAnsi="Verdana" w:cs="Arial"/>
          <w:bCs/>
          <w:sz w:val="20"/>
          <w:szCs w:val="20"/>
        </w:rPr>
        <w:t>en esta sección.</w:t>
      </w:r>
    </w:p>
    <w:p w14:paraId="0AF3DE28" w14:textId="6D98D8CC" w:rsidR="002B3025" w:rsidRDefault="002B3025" w:rsidP="00551D66">
      <w:pPr>
        <w:pStyle w:val="Textoindependiente"/>
        <w:numPr>
          <w:ilvl w:val="0"/>
          <w:numId w:val="39"/>
        </w:numPr>
        <w:tabs>
          <w:tab w:val="right" w:pos="360"/>
          <w:tab w:val="right" w:pos="540"/>
        </w:tabs>
        <w:ind w:left="284" w:hanging="284"/>
        <w:rPr>
          <w:rFonts w:ascii="Verdana" w:hAnsi="Verdana" w:cs="Arial"/>
          <w:b/>
          <w:sz w:val="20"/>
        </w:rPr>
      </w:pPr>
      <w:r w:rsidRPr="003A3881">
        <w:rPr>
          <w:rFonts w:ascii="Verdana" w:hAnsi="Verdana" w:cs="Arial"/>
          <w:b/>
          <w:sz w:val="20"/>
        </w:rPr>
        <w:t>Registro de eventos de riesgo operacional de alta calidad</w:t>
      </w:r>
    </w:p>
    <w:p w14:paraId="79B44330" w14:textId="77777777" w:rsidR="00AC73CE" w:rsidRPr="00AC73CE" w:rsidRDefault="00AC73CE" w:rsidP="00AC73CE">
      <w:pPr>
        <w:pStyle w:val="Textoindependiente"/>
        <w:tabs>
          <w:tab w:val="right" w:pos="360"/>
          <w:tab w:val="right" w:pos="540"/>
        </w:tabs>
        <w:rPr>
          <w:rFonts w:ascii="Verdana" w:hAnsi="Verdana" w:cs="Arial"/>
          <w:b/>
          <w:sz w:val="20"/>
        </w:rPr>
      </w:pPr>
    </w:p>
    <w:p w14:paraId="79277795" w14:textId="1511F43D" w:rsidR="003A3881" w:rsidRPr="001C6CAB" w:rsidRDefault="003A3881" w:rsidP="003A3881">
      <w:pPr>
        <w:spacing w:after="0"/>
        <w:rPr>
          <w:rFonts w:ascii="Verdana" w:hAnsi="Verdana"/>
          <w:sz w:val="20"/>
          <w:szCs w:val="20"/>
        </w:rPr>
      </w:pPr>
      <w:r w:rsidRPr="001C6CAB">
        <w:rPr>
          <w:rFonts w:ascii="Verdana" w:hAnsi="Verdana"/>
          <w:sz w:val="20"/>
          <w:szCs w:val="20"/>
        </w:rPr>
        <w:t>1.1.3.</w:t>
      </w:r>
      <w:r>
        <w:rPr>
          <w:rFonts w:ascii="Verdana" w:hAnsi="Verdana"/>
          <w:sz w:val="20"/>
          <w:szCs w:val="20"/>
        </w:rPr>
        <w:t>13</w:t>
      </w:r>
      <w:r w:rsidR="00B42F68">
        <w:rPr>
          <w:rFonts w:ascii="Verdana" w:hAnsi="Verdana"/>
          <w:sz w:val="20"/>
          <w:szCs w:val="20"/>
        </w:rPr>
        <w:t>5</w:t>
      </w:r>
      <w:r w:rsidRPr="001C6CAB">
        <w:rPr>
          <w:rFonts w:ascii="Verdana" w:hAnsi="Verdana"/>
          <w:sz w:val="20"/>
          <w:szCs w:val="20"/>
        </w:rPr>
        <w:t>.</w:t>
      </w:r>
    </w:p>
    <w:p w14:paraId="489E5768" w14:textId="77E732DA" w:rsidR="002B3025" w:rsidRPr="002B3025" w:rsidRDefault="002B3025" w:rsidP="00B929BB">
      <w:pPr>
        <w:pStyle w:val="Prrafodelista"/>
        <w:tabs>
          <w:tab w:val="left" w:pos="284"/>
        </w:tabs>
        <w:ind w:left="0"/>
        <w:jc w:val="both"/>
        <w:rPr>
          <w:rFonts w:ascii="Verdana" w:hAnsi="Verdana" w:cs="Arial"/>
          <w:bCs/>
          <w:sz w:val="20"/>
          <w:szCs w:val="20"/>
        </w:rPr>
      </w:pPr>
      <w:r w:rsidRPr="002B3025">
        <w:rPr>
          <w:rFonts w:ascii="Verdana" w:hAnsi="Verdana" w:cs="Arial"/>
          <w:bCs/>
          <w:sz w:val="20"/>
          <w:szCs w:val="20"/>
        </w:rPr>
        <w:t xml:space="preserve">La apropiada identificación, recolección y tratamiento de los registros por pérdidas operacionales de las entidades son requisitos esenciales para la adecuada gestión del riesgo operacional. Para la gestión del riesgo operacional la entidad debe contar con un registro de eventos de riesgo operacional de alta calidad que incluya los criterios generales y </w:t>
      </w:r>
      <w:r w:rsidRPr="007F2D35">
        <w:rPr>
          <w:rFonts w:ascii="Verdana" w:hAnsi="Verdana" w:cs="Arial"/>
          <w:bCs/>
          <w:sz w:val="20"/>
          <w:szCs w:val="20"/>
        </w:rPr>
        <w:t xml:space="preserve">específicos </w:t>
      </w:r>
      <w:r w:rsidR="00977732" w:rsidRPr="007F2D35">
        <w:rPr>
          <w:rFonts w:ascii="Verdana" w:hAnsi="Verdana" w:cs="Arial"/>
          <w:bCs/>
          <w:sz w:val="20"/>
          <w:szCs w:val="20"/>
        </w:rPr>
        <w:t>señalados en el párrafo 1.1.3.138. y entre los párrafos 1.1.3.139. al 1.1.3.147.</w:t>
      </w:r>
      <w:r w:rsidR="007F2D35" w:rsidRPr="007F2D35">
        <w:rPr>
          <w:rFonts w:ascii="Verdana" w:hAnsi="Verdana" w:cs="Arial"/>
          <w:bCs/>
          <w:sz w:val="20"/>
          <w:szCs w:val="20"/>
        </w:rPr>
        <w:t xml:space="preserve"> de la </w:t>
      </w:r>
      <w:r w:rsidR="006317A5">
        <w:rPr>
          <w:rFonts w:ascii="Verdana" w:hAnsi="Verdana" w:cs="Arial"/>
          <w:bCs/>
          <w:sz w:val="20"/>
          <w:szCs w:val="20"/>
        </w:rPr>
        <w:t>CBF</w:t>
      </w:r>
      <w:r w:rsidRPr="007F2D35">
        <w:rPr>
          <w:rFonts w:ascii="Verdana" w:hAnsi="Verdana" w:cs="Arial"/>
          <w:bCs/>
          <w:sz w:val="20"/>
          <w:szCs w:val="20"/>
        </w:rPr>
        <w:t>, el cual deben mantener permanentemente actualizado y a disposición de la SFC. Este registro debe contener todos los eventos de riesgo operacional ocurridos que:</w:t>
      </w:r>
    </w:p>
    <w:p w14:paraId="7D8C176E" w14:textId="77777777" w:rsidR="002B3025" w:rsidRPr="002B3025" w:rsidRDefault="002B3025" w:rsidP="00B929BB">
      <w:pPr>
        <w:pStyle w:val="Prrafodelista"/>
        <w:tabs>
          <w:tab w:val="left" w:pos="284"/>
        </w:tabs>
        <w:ind w:left="0"/>
        <w:jc w:val="both"/>
        <w:rPr>
          <w:rFonts w:ascii="Verdana" w:hAnsi="Verdana" w:cs="Arial"/>
          <w:bCs/>
          <w:sz w:val="20"/>
          <w:szCs w:val="20"/>
        </w:rPr>
      </w:pPr>
    </w:p>
    <w:p w14:paraId="026BD153" w14:textId="0D2EB9C4" w:rsidR="002B3025" w:rsidRDefault="002B3025" w:rsidP="00634E67">
      <w:pPr>
        <w:pStyle w:val="Prrafodelista"/>
        <w:numPr>
          <w:ilvl w:val="0"/>
          <w:numId w:val="21"/>
        </w:numPr>
        <w:tabs>
          <w:tab w:val="left" w:pos="567"/>
        </w:tabs>
        <w:ind w:left="567" w:hanging="567"/>
        <w:jc w:val="both"/>
        <w:rPr>
          <w:rFonts w:ascii="Verdana" w:hAnsi="Verdana" w:cs="Arial"/>
          <w:bCs/>
          <w:sz w:val="20"/>
          <w:szCs w:val="20"/>
        </w:rPr>
      </w:pPr>
      <w:r w:rsidRPr="00573257">
        <w:rPr>
          <w:rFonts w:ascii="Verdana" w:hAnsi="Verdana" w:cs="Arial"/>
          <w:bCs/>
          <w:sz w:val="20"/>
          <w:szCs w:val="20"/>
        </w:rPr>
        <w:t>Generan pérdidas y afectan el estado de resultados de la entidad.</w:t>
      </w:r>
    </w:p>
    <w:p w14:paraId="49D467EF" w14:textId="77777777" w:rsidR="00573257" w:rsidRPr="00573257" w:rsidRDefault="00573257" w:rsidP="00573257">
      <w:pPr>
        <w:pStyle w:val="Prrafodelista"/>
        <w:tabs>
          <w:tab w:val="left" w:pos="567"/>
        </w:tabs>
        <w:ind w:left="567"/>
        <w:jc w:val="both"/>
        <w:rPr>
          <w:rFonts w:ascii="Verdana" w:hAnsi="Verdana" w:cs="Arial"/>
          <w:bCs/>
          <w:sz w:val="20"/>
          <w:szCs w:val="20"/>
        </w:rPr>
      </w:pPr>
    </w:p>
    <w:p w14:paraId="5F055092" w14:textId="65FEA237" w:rsidR="002B3025" w:rsidRPr="00037B59" w:rsidRDefault="002B3025" w:rsidP="00037B59">
      <w:pPr>
        <w:pStyle w:val="Prrafodelista"/>
        <w:numPr>
          <w:ilvl w:val="0"/>
          <w:numId w:val="21"/>
        </w:numPr>
        <w:tabs>
          <w:tab w:val="left" w:pos="567"/>
        </w:tabs>
        <w:ind w:left="567" w:hanging="567"/>
        <w:jc w:val="both"/>
        <w:rPr>
          <w:rFonts w:ascii="Verdana" w:hAnsi="Verdana" w:cs="Arial"/>
          <w:bCs/>
          <w:sz w:val="20"/>
          <w:szCs w:val="20"/>
        </w:rPr>
      </w:pPr>
      <w:r w:rsidRPr="00573257">
        <w:rPr>
          <w:rFonts w:ascii="Verdana" w:hAnsi="Verdana" w:cs="Arial"/>
          <w:bCs/>
          <w:sz w:val="20"/>
          <w:szCs w:val="20"/>
        </w:rPr>
        <w:t>No generan pérdidas y por lo tanto no afectan el estado de resultados de la entidad.</w:t>
      </w:r>
    </w:p>
    <w:p w14:paraId="244FAC38" w14:textId="0965E071" w:rsidR="00573257" w:rsidRPr="001C6CAB" w:rsidRDefault="00573257" w:rsidP="00573257">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B73C9A">
        <w:rPr>
          <w:rFonts w:ascii="Verdana" w:hAnsi="Verdana"/>
          <w:sz w:val="20"/>
          <w:szCs w:val="20"/>
        </w:rPr>
        <w:t>3</w:t>
      </w:r>
      <w:r w:rsidR="00B42F68">
        <w:rPr>
          <w:rFonts w:ascii="Verdana" w:hAnsi="Verdana"/>
          <w:sz w:val="20"/>
          <w:szCs w:val="20"/>
        </w:rPr>
        <w:t>6</w:t>
      </w:r>
      <w:r w:rsidRPr="001C6CAB">
        <w:rPr>
          <w:rFonts w:ascii="Verdana" w:hAnsi="Verdana"/>
          <w:sz w:val="20"/>
          <w:szCs w:val="20"/>
        </w:rPr>
        <w:t>.</w:t>
      </w:r>
    </w:p>
    <w:p w14:paraId="69F0E793" w14:textId="746CB637" w:rsidR="002B3025" w:rsidRPr="002B3025" w:rsidRDefault="002B3025" w:rsidP="00B929BB">
      <w:pPr>
        <w:tabs>
          <w:tab w:val="left" w:pos="709"/>
        </w:tabs>
        <w:jc w:val="both"/>
        <w:rPr>
          <w:rFonts w:ascii="Verdana" w:hAnsi="Verdana" w:cs="Arial"/>
          <w:bCs/>
          <w:sz w:val="20"/>
          <w:szCs w:val="20"/>
        </w:rPr>
      </w:pPr>
      <w:r w:rsidRPr="002B3025">
        <w:rPr>
          <w:rFonts w:ascii="Verdana" w:hAnsi="Verdana" w:cs="Arial"/>
          <w:bCs/>
          <w:sz w:val="20"/>
          <w:szCs w:val="20"/>
        </w:rPr>
        <w:t xml:space="preserve">Dichos eventos deben revelarse en los términos </w:t>
      </w:r>
      <w:r w:rsidR="00AF148D">
        <w:rPr>
          <w:rFonts w:ascii="Verdana" w:hAnsi="Verdana" w:cs="Arial"/>
          <w:bCs/>
          <w:sz w:val="20"/>
          <w:szCs w:val="20"/>
        </w:rPr>
        <w:t>establecidos entre los párrafos 1.1.3.148. y 1.1.</w:t>
      </w:r>
      <w:r w:rsidR="00DC6617">
        <w:rPr>
          <w:rFonts w:ascii="Verdana" w:hAnsi="Verdana" w:cs="Arial"/>
          <w:bCs/>
          <w:sz w:val="20"/>
          <w:szCs w:val="20"/>
        </w:rPr>
        <w:t>3.150.</w:t>
      </w:r>
    </w:p>
    <w:p w14:paraId="0EED58E9" w14:textId="1145529E" w:rsidR="00573257" w:rsidRPr="001C6CAB" w:rsidRDefault="00573257" w:rsidP="00573257">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B73C9A">
        <w:rPr>
          <w:rFonts w:ascii="Verdana" w:hAnsi="Verdana"/>
          <w:sz w:val="20"/>
          <w:szCs w:val="20"/>
        </w:rPr>
        <w:t>3</w:t>
      </w:r>
      <w:r w:rsidR="00B42F68">
        <w:rPr>
          <w:rFonts w:ascii="Verdana" w:hAnsi="Verdana"/>
          <w:sz w:val="20"/>
          <w:szCs w:val="20"/>
        </w:rPr>
        <w:t>7</w:t>
      </w:r>
      <w:r w:rsidRPr="001C6CAB">
        <w:rPr>
          <w:rFonts w:ascii="Verdana" w:hAnsi="Verdana"/>
          <w:sz w:val="20"/>
          <w:szCs w:val="20"/>
        </w:rPr>
        <w:t>.</w:t>
      </w:r>
    </w:p>
    <w:p w14:paraId="38FFF7A8" w14:textId="626D7E0E" w:rsidR="002B3025" w:rsidRPr="002B3025" w:rsidRDefault="002B3025" w:rsidP="00037B59">
      <w:pPr>
        <w:tabs>
          <w:tab w:val="left" w:pos="540"/>
        </w:tabs>
        <w:jc w:val="both"/>
        <w:rPr>
          <w:rFonts w:ascii="Verdana" w:hAnsi="Verdana" w:cs="Arial"/>
          <w:bCs/>
          <w:sz w:val="20"/>
          <w:szCs w:val="20"/>
        </w:rPr>
      </w:pPr>
      <w:r w:rsidRPr="002B3025">
        <w:rPr>
          <w:rFonts w:ascii="Verdana" w:hAnsi="Verdana" w:cs="Arial"/>
          <w:bCs/>
          <w:sz w:val="20"/>
          <w:szCs w:val="20"/>
        </w:rPr>
        <w:t xml:space="preserve">Es importante anotar </w:t>
      </w:r>
      <w:r w:rsidRPr="00DC6617">
        <w:rPr>
          <w:rFonts w:ascii="Verdana" w:hAnsi="Verdana" w:cs="Arial"/>
          <w:bCs/>
          <w:sz w:val="20"/>
          <w:szCs w:val="20"/>
        </w:rPr>
        <w:t xml:space="preserve">que para los casos del literal </w:t>
      </w:r>
      <w:r w:rsidR="00DC6617" w:rsidRPr="00DC6617">
        <w:rPr>
          <w:rFonts w:ascii="Verdana" w:hAnsi="Verdana" w:cs="Arial"/>
          <w:bCs/>
          <w:sz w:val="20"/>
          <w:szCs w:val="20"/>
        </w:rPr>
        <w:t>(</w:t>
      </w:r>
      <w:r w:rsidRPr="00DC6617">
        <w:rPr>
          <w:rFonts w:ascii="Verdana" w:hAnsi="Verdana" w:cs="Arial"/>
          <w:bCs/>
          <w:sz w:val="20"/>
          <w:szCs w:val="20"/>
        </w:rPr>
        <w:t xml:space="preserve">b) del </w:t>
      </w:r>
      <w:r w:rsidR="0054779F" w:rsidRPr="00DC6617">
        <w:rPr>
          <w:rFonts w:ascii="Verdana" w:hAnsi="Verdana" w:cs="Arial"/>
          <w:bCs/>
          <w:sz w:val="20"/>
          <w:szCs w:val="20"/>
        </w:rPr>
        <w:t>párrafo 1.1.3.13</w:t>
      </w:r>
      <w:r w:rsidR="00DC6617" w:rsidRPr="00DC6617">
        <w:rPr>
          <w:rFonts w:ascii="Verdana" w:hAnsi="Verdana" w:cs="Arial"/>
          <w:bCs/>
          <w:sz w:val="20"/>
          <w:szCs w:val="20"/>
        </w:rPr>
        <w:t>5</w:t>
      </w:r>
      <w:r w:rsidR="0054779F" w:rsidRPr="00DC6617">
        <w:rPr>
          <w:rFonts w:ascii="Verdana" w:hAnsi="Verdana" w:cs="Arial"/>
          <w:bCs/>
          <w:sz w:val="20"/>
          <w:szCs w:val="20"/>
        </w:rPr>
        <w:t>.</w:t>
      </w:r>
      <w:r w:rsidRPr="00DC6617">
        <w:rPr>
          <w:rFonts w:ascii="Verdana" w:hAnsi="Verdana" w:cs="Arial"/>
          <w:bCs/>
          <w:sz w:val="20"/>
          <w:szCs w:val="20"/>
        </w:rPr>
        <w:t>, la medición</w:t>
      </w:r>
      <w:r w:rsidRPr="002B3025">
        <w:rPr>
          <w:rFonts w:ascii="Verdana" w:hAnsi="Verdana" w:cs="Arial"/>
          <w:bCs/>
          <w:sz w:val="20"/>
          <w:szCs w:val="20"/>
        </w:rPr>
        <w:t xml:space="preserve"> será de carácter cualitativo y cuantitativo cuando así se determine por la entidad.</w:t>
      </w:r>
    </w:p>
    <w:p w14:paraId="1D311C7A" w14:textId="7B70C504" w:rsidR="002B3025" w:rsidRPr="00A11BE9" w:rsidRDefault="002B3025" w:rsidP="00551D66">
      <w:pPr>
        <w:pStyle w:val="Prrafodelista"/>
        <w:numPr>
          <w:ilvl w:val="0"/>
          <w:numId w:val="40"/>
        </w:numPr>
        <w:tabs>
          <w:tab w:val="left" w:pos="284"/>
        </w:tabs>
        <w:ind w:left="567" w:hanging="283"/>
        <w:jc w:val="both"/>
        <w:rPr>
          <w:rFonts w:ascii="Verdana" w:hAnsi="Verdana" w:cs="Arial"/>
          <w:b/>
          <w:sz w:val="20"/>
          <w:szCs w:val="20"/>
        </w:rPr>
      </w:pPr>
      <w:r w:rsidRPr="00A11BE9">
        <w:rPr>
          <w:rFonts w:ascii="Verdana" w:hAnsi="Verdana" w:cs="Arial"/>
          <w:b/>
          <w:sz w:val="20"/>
          <w:szCs w:val="20"/>
        </w:rPr>
        <w:t>Criterios generales para el registro de eventos de riesgo operacional</w:t>
      </w:r>
    </w:p>
    <w:p w14:paraId="781A26FF" w14:textId="47DEED95" w:rsidR="00573257" w:rsidRPr="001C6CAB" w:rsidRDefault="00573257" w:rsidP="00573257">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B73C9A">
        <w:rPr>
          <w:rFonts w:ascii="Verdana" w:hAnsi="Verdana"/>
          <w:sz w:val="20"/>
          <w:szCs w:val="20"/>
        </w:rPr>
        <w:t>3</w:t>
      </w:r>
      <w:r w:rsidR="00B42F68">
        <w:rPr>
          <w:rFonts w:ascii="Verdana" w:hAnsi="Verdana"/>
          <w:sz w:val="20"/>
          <w:szCs w:val="20"/>
        </w:rPr>
        <w:t>8</w:t>
      </w:r>
      <w:r w:rsidRPr="001C6CAB">
        <w:rPr>
          <w:rFonts w:ascii="Verdana" w:hAnsi="Verdana"/>
          <w:sz w:val="20"/>
          <w:szCs w:val="20"/>
        </w:rPr>
        <w:t>.</w:t>
      </w:r>
    </w:p>
    <w:p w14:paraId="10AE3C3C" w14:textId="77777777" w:rsidR="004B2BA7" w:rsidRDefault="002B3025" w:rsidP="004B2BA7">
      <w:pPr>
        <w:tabs>
          <w:tab w:val="left" w:pos="540"/>
        </w:tabs>
        <w:jc w:val="both"/>
        <w:rPr>
          <w:rFonts w:ascii="Verdana" w:hAnsi="Verdana" w:cs="Arial"/>
          <w:bCs/>
          <w:sz w:val="20"/>
          <w:szCs w:val="20"/>
        </w:rPr>
      </w:pPr>
      <w:r w:rsidRPr="002B3025">
        <w:rPr>
          <w:rFonts w:ascii="Verdana" w:hAnsi="Verdana" w:cs="Arial"/>
          <w:bCs/>
          <w:sz w:val="20"/>
          <w:szCs w:val="20"/>
        </w:rPr>
        <w:t>Para la recolección de datos internos y construcción de la base de datos con registros históricos de eventos de riesgo operacional, las entidades deben tener en cuenta lo siguiente:</w:t>
      </w:r>
    </w:p>
    <w:p w14:paraId="7E37EA40" w14:textId="77777777" w:rsidR="004B2BA7" w:rsidRDefault="002B3025" w:rsidP="00551D66">
      <w:pPr>
        <w:pStyle w:val="Prrafodelista"/>
        <w:numPr>
          <w:ilvl w:val="0"/>
          <w:numId w:val="41"/>
        </w:numPr>
        <w:tabs>
          <w:tab w:val="left" w:pos="540"/>
        </w:tabs>
        <w:ind w:left="567" w:hanging="567"/>
        <w:jc w:val="both"/>
        <w:rPr>
          <w:rFonts w:ascii="Verdana" w:hAnsi="Verdana" w:cs="Arial"/>
          <w:bCs/>
          <w:sz w:val="20"/>
          <w:szCs w:val="20"/>
        </w:rPr>
      </w:pPr>
      <w:r w:rsidRPr="004B2BA7">
        <w:rPr>
          <w:rFonts w:ascii="Verdana" w:hAnsi="Verdana" w:cs="Arial"/>
          <w:bCs/>
          <w:sz w:val="20"/>
          <w:szCs w:val="20"/>
        </w:rPr>
        <w:t>Las entidades deben contar con procedimientos y procesos documentados para la identificación, recopilación y tratamiento de los registros de eventos de riesgo operacional.</w:t>
      </w:r>
    </w:p>
    <w:p w14:paraId="4590BB70" w14:textId="77777777" w:rsidR="004B2BA7" w:rsidRDefault="004B2BA7" w:rsidP="004B2BA7">
      <w:pPr>
        <w:pStyle w:val="Prrafodelista"/>
        <w:tabs>
          <w:tab w:val="left" w:pos="540"/>
        </w:tabs>
        <w:ind w:left="567"/>
        <w:jc w:val="both"/>
        <w:rPr>
          <w:rFonts w:ascii="Verdana" w:hAnsi="Verdana" w:cs="Arial"/>
          <w:bCs/>
          <w:sz w:val="20"/>
          <w:szCs w:val="20"/>
        </w:rPr>
      </w:pPr>
    </w:p>
    <w:p w14:paraId="7FD856F4" w14:textId="77777777" w:rsidR="004B2BA7" w:rsidRPr="004B2BA7" w:rsidRDefault="002B3025" w:rsidP="00551D66">
      <w:pPr>
        <w:pStyle w:val="Prrafodelista"/>
        <w:numPr>
          <w:ilvl w:val="0"/>
          <w:numId w:val="41"/>
        </w:numPr>
        <w:tabs>
          <w:tab w:val="left" w:pos="540"/>
        </w:tabs>
        <w:ind w:left="567" w:hanging="567"/>
        <w:jc w:val="both"/>
        <w:rPr>
          <w:rFonts w:ascii="Verdana" w:hAnsi="Verdana" w:cs="Arial"/>
          <w:bCs/>
          <w:sz w:val="20"/>
          <w:szCs w:val="20"/>
        </w:rPr>
      </w:pPr>
      <w:r w:rsidRPr="004B2BA7">
        <w:rPr>
          <w:rFonts w:ascii="Verdana" w:hAnsi="Verdana" w:cs="Arial"/>
          <w:sz w:val="20"/>
          <w:szCs w:val="20"/>
        </w:rPr>
        <w:t>Los registros de eventos sobre pérdidas operacionales deben ser integrales e incluir la totalidad de las actividades y exposiciones, así como comprender la totalidad de los eventos de riesgo operacional.</w:t>
      </w:r>
    </w:p>
    <w:p w14:paraId="298CDB5C" w14:textId="77777777" w:rsidR="004B2BA7" w:rsidRPr="004B2BA7" w:rsidRDefault="004B2BA7" w:rsidP="004B2BA7">
      <w:pPr>
        <w:pStyle w:val="Prrafodelista"/>
        <w:rPr>
          <w:rFonts w:ascii="Verdana" w:hAnsi="Verdana" w:cs="Arial"/>
          <w:bCs/>
          <w:sz w:val="20"/>
          <w:szCs w:val="20"/>
        </w:rPr>
      </w:pPr>
    </w:p>
    <w:p w14:paraId="702C4674" w14:textId="77777777" w:rsidR="004B2BA7" w:rsidRDefault="002B3025" w:rsidP="00551D66">
      <w:pPr>
        <w:pStyle w:val="Prrafodelista"/>
        <w:numPr>
          <w:ilvl w:val="0"/>
          <w:numId w:val="41"/>
        </w:numPr>
        <w:tabs>
          <w:tab w:val="left" w:pos="540"/>
        </w:tabs>
        <w:ind w:left="567" w:hanging="567"/>
        <w:jc w:val="both"/>
        <w:rPr>
          <w:rFonts w:ascii="Verdana" w:hAnsi="Verdana" w:cs="Arial"/>
          <w:bCs/>
          <w:sz w:val="20"/>
          <w:szCs w:val="20"/>
        </w:rPr>
      </w:pPr>
      <w:r w:rsidRPr="004B2BA7">
        <w:rPr>
          <w:rFonts w:ascii="Verdana" w:hAnsi="Verdana" w:cs="Arial"/>
          <w:bCs/>
          <w:sz w:val="20"/>
          <w:szCs w:val="20"/>
        </w:rPr>
        <w:t>Cada entidad debe tener su propio y único registro de eventos de riesgo operacional. Las entidades con matriz internacional deben tener disponible y centralizada, en Colombia, la información relacionada con los eventos de riesgo operacional locales.</w:t>
      </w:r>
    </w:p>
    <w:p w14:paraId="6D97C21B" w14:textId="77777777" w:rsidR="004B2BA7" w:rsidRPr="004B2BA7" w:rsidRDefault="004B2BA7" w:rsidP="004B2BA7">
      <w:pPr>
        <w:pStyle w:val="Prrafodelista"/>
        <w:rPr>
          <w:rFonts w:ascii="Verdana" w:hAnsi="Verdana" w:cs="Arial"/>
          <w:bCs/>
          <w:sz w:val="20"/>
          <w:szCs w:val="20"/>
        </w:rPr>
      </w:pPr>
    </w:p>
    <w:p w14:paraId="5B109490" w14:textId="68885CB2" w:rsidR="002B3025" w:rsidRPr="004B2BA7" w:rsidRDefault="002B3025" w:rsidP="00551D66">
      <w:pPr>
        <w:pStyle w:val="Prrafodelista"/>
        <w:numPr>
          <w:ilvl w:val="0"/>
          <w:numId w:val="41"/>
        </w:numPr>
        <w:tabs>
          <w:tab w:val="left" w:pos="540"/>
        </w:tabs>
        <w:ind w:left="567" w:hanging="567"/>
        <w:jc w:val="both"/>
        <w:rPr>
          <w:rFonts w:ascii="Verdana" w:hAnsi="Verdana" w:cs="Arial"/>
          <w:bCs/>
          <w:sz w:val="20"/>
          <w:szCs w:val="20"/>
        </w:rPr>
      </w:pPr>
      <w:r w:rsidRPr="004B2BA7">
        <w:rPr>
          <w:rFonts w:ascii="Verdana" w:hAnsi="Verdana" w:cs="Arial"/>
          <w:bCs/>
          <w:sz w:val="20"/>
          <w:szCs w:val="20"/>
        </w:rPr>
        <w:t>El grado de detalle de la información descriptiva y cuantitativa debe corresponder como mínimo a los siguientes campos:</w:t>
      </w:r>
    </w:p>
    <w:tbl>
      <w:tblPr>
        <w:tblpPr w:leftFromText="141" w:rightFromText="141" w:vertAnchor="text" w:tblpXSpec="center" w:tblpY="1"/>
        <w:tblOverlap w:val="never"/>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5644"/>
      </w:tblGrid>
      <w:tr w:rsidR="002E3760" w:rsidRPr="002B3025" w14:paraId="51146A6E" w14:textId="77777777" w:rsidTr="00C60907">
        <w:trPr>
          <w:trHeight w:val="300"/>
          <w:tblHeader/>
        </w:trPr>
        <w:tc>
          <w:tcPr>
            <w:tcW w:w="3114" w:type="dxa"/>
            <w:shd w:val="clear" w:color="auto" w:fill="D1D1D1" w:themeFill="background2" w:themeFillShade="E6"/>
            <w:noWrap/>
            <w:vAlign w:val="center"/>
            <w:hideMark/>
          </w:tcPr>
          <w:p w14:paraId="26205059" w14:textId="019F7C02" w:rsidR="002B3025" w:rsidRPr="00223BB3" w:rsidRDefault="002B3025" w:rsidP="00223BB3">
            <w:pPr>
              <w:jc w:val="center"/>
              <w:rPr>
                <w:rFonts w:ascii="Verdana" w:hAnsi="Verdana" w:cs="Arial"/>
                <w:b/>
                <w:color w:val="000000"/>
                <w:sz w:val="16"/>
                <w:szCs w:val="16"/>
                <w:lang w:eastAsia="es-CO"/>
              </w:rPr>
            </w:pPr>
            <w:r w:rsidRPr="00223BB3">
              <w:rPr>
                <w:rFonts w:ascii="Verdana" w:hAnsi="Verdana" w:cs="Arial"/>
                <w:b/>
                <w:color w:val="000000"/>
                <w:sz w:val="16"/>
                <w:szCs w:val="16"/>
              </w:rPr>
              <w:t>Nombre</w:t>
            </w:r>
          </w:p>
        </w:tc>
        <w:tc>
          <w:tcPr>
            <w:tcW w:w="5644" w:type="dxa"/>
            <w:shd w:val="clear" w:color="auto" w:fill="D1D1D1" w:themeFill="background2" w:themeFillShade="E6"/>
            <w:vAlign w:val="center"/>
            <w:hideMark/>
          </w:tcPr>
          <w:p w14:paraId="40B73FB9" w14:textId="77777777" w:rsidR="002B3025" w:rsidRPr="00223BB3" w:rsidRDefault="002B3025" w:rsidP="00223BB3">
            <w:pPr>
              <w:jc w:val="center"/>
              <w:rPr>
                <w:rFonts w:ascii="Verdana" w:hAnsi="Verdana" w:cs="Arial"/>
                <w:b/>
                <w:color w:val="000000"/>
                <w:sz w:val="16"/>
                <w:szCs w:val="16"/>
              </w:rPr>
            </w:pPr>
            <w:r w:rsidRPr="00223BB3">
              <w:rPr>
                <w:rFonts w:ascii="Verdana" w:hAnsi="Verdana" w:cs="Arial"/>
                <w:b/>
                <w:color w:val="000000"/>
                <w:sz w:val="16"/>
                <w:szCs w:val="16"/>
              </w:rPr>
              <w:t>Descripción</w:t>
            </w:r>
          </w:p>
        </w:tc>
      </w:tr>
      <w:tr w:rsidR="002E3760" w:rsidRPr="002B3025" w14:paraId="447C5A68" w14:textId="77777777" w:rsidTr="00C60907">
        <w:trPr>
          <w:trHeight w:val="300"/>
        </w:trPr>
        <w:tc>
          <w:tcPr>
            <w:tcW w:w="3114" w:type="dxa"/>
            <w:noWrap/>
            <w:hideMark/>
          </w:tcPr>
          <w:p w14:paraId="1743F014" w14:textId="77777777" w:rsidR="002B3025" w:rsidRPr="00223BB3" w:rsidRDefault="002B3025" w:rsidP="00B929BB">
            <w:pPr>
              <w:rPr>
                <w:rFonts w:ascii="Verdana" w:hAnsi="Verdana" w:cs="Arial"/>
                <w:bCs/>
                <w:color w:val="000000"/>
                <w:sz w:val="16"/>
                <w:szCs w:val="16"/>
              </w:rPr>
            </w:pPr>
            <w:r w:rsidRPr="00223BB3">
              <w:rPr>
                <w:rFonts w:ascii="Verdana" w:eastAsia="Arial" w:hAnsi="Verdana" w:cs="Arial"/>
                <w:bCs/>
                <w:color w:val="000000"/>
                <w:sz w:val="16"/>
                <w:szCs w:val="16"/>
              </w:rPr>
              <w:t>Referencia</w:t>
            </w:r>
          </w:p>
        </w:tc>
        <w:tc>
          <w:tcPr>
            <w:tcW w:w="5644" w:type="dxa"/>
            <w:hideMark/>
          </w:tcPr>
          <w:p w14:paraId="245DFB3F" w14:textId="77777777" w:rsidR="002B3025" w:rsidRPr="00223BB3" w:rsidRDefault="002B3025" w:rsidP="00B929BB">
            <w:pPr>
              <w:rPr>
                <w:rFonts w:ascii="Verdana" w:hAnsi="Verdana" w:cs="Arial"/>
                <w:bCs/>
                <w:color w:val="000000"/>
                <w:sz w:val="16"/>
                <w:szCs w:val="16"/>
              </w:rPr>
            </w:pPr>
            <w:r w:rsidRPr="00223BB3">
              <w:rPr>
                <w:rFonts w:ascii="Verdana" w:hAnsi="Verdana" w:cs="Arial"/>
                <w:bCs/>
                <w:color w:val="000000"/>
                <w:sz w:val="16"/>
                <w:szCs w:val="16"/>
              </w:rPr>
              <w:t>Código interno que relacione el evento en forma secuencial.</w:t>
            </w:r>
          </w:p>
        </w:tc>
      </w:tr>
      <w:tr w:rsidR="002E3760" w:rsidRPr="002B3025" w14:paraId="1567F78E" w14:textId="77777777" w:rsidTr="00C60907">
        <w:trPr>
          <w:trHeight w:val="300"/>
        </w:trPr>
        <w:tc>
          <w:tcPr>
            <w:tcW w:w="3114" w:type="dxa"/>
            <w:vMerge w:val="restart"/>
            <w:noWrap/>
            <w:hideMark/>
          </w:tcPr>
          <w:p w14:paraId="71A51C4C" w14:textId="77777777" w:rsidR="002B3025" w:rsidRPr="00223BB3" w:rsidRDefault="002B3025" w:rsidP="00B929BB">
            <w:pPr>
              <w:rPr>
                <w:rFonts w:ascii="Verdana" w:hAnsi="Verdana" w:cs="Arial"/>
                <w:bCs/>
                <w:color w:val="000000"/>
                <w:sz w:val="16"/>
                <w:szCs w:val="16"/>
              </w:rPr>
            </w:pPr>
            <w:r w:rsidRPr="00223BB3">
              <w:rPr>
                <w:rFonts w:ascii="Verdana" w:eastAsia="Arial" w:hAnsi="Verdana" w:cs="Arial"/>
                <w:bCs/>
                <w:color w:val="000000"/>
                <w:sz w:val="16"/>
                <w:szCs w:val="16"/>
              </w:rPr>
              <w:t>Fecha de inicio del evento</w:t>
            </w:r>
          </w:p>
        </w:tc>
        <w:tc>
          <w:tcPr>
            <w:tcW w:w="5644" w:type="dxa"/>
            <w:hideMark/>
          </w:tcPr>
          <w:p w14:paraId="663B8B9D" w14:textId="77777777" w:rsidR="002B3025" w:rsidRPr="00223BB3" w:rsidRDefault="002B3025" w:rsidP="00B929BB">
            <w:pPr>
              <w:rPr>
                <w:rFonts w:ascii="Verdana" w:hAnsi="Verdana" w:cs="Arial"/>
                <w:bCs/>
                <w:color w:val="000000"/>
                <w:sz w:val="16"/>
                <w:szCs w:val="16"/>
              </w:rPr>
            </w:pPr>
            <w:r w:rsidRPr="00223BB3">
              <w:rPr>
                <w:rFonts w:ascii="Verdana" w:hAnsi="Verdana" w:cs="Arial"/>
                <w:bCs/>
                <w:color w:val="000000"/>
                <w:sz w:val="16"/>
                <w:szCs w:val="16"/>
              </w:rPr>
              <w:t>Fecha en que se inicia el evento.</w:t>
            </w:r>
          </w:p>
        </w:tc>
      </w:tr>
      <w:tr w:rsidR="002E3760" w:rsidRPr="002B3025" w14:paraId="7FEE9B0C" w14:textId="77777777" w:rsidTr="00C60907">
        <w:trPr>
          <w:trHeight w:val="300"/>
        </w:trPr>
        <w:tc>
          <w:tcPr>
            <w:tcW w:w="3114" w:type="dxa"/>
            <w:vMerge/>
            <w:vAlign w:val="center"/>
            <w:hideMark/>
          </w:tcPr>
          <w:p w14:paraId="5090BD2E" w14:textId="77777777" w:rsidR="002B3025" w:rsidRPr="00223BB3" w:rsidRDefault="002B3025" w:rsidP="00B929BB">
            <w:pPr>
              <w:rPr>
                <w:rFonts w:ascii="Verdana" w:hAnsi="Verdana" w:cs="Arial"/>
                <w:bCs/>
                <w:color w:val="000000"/>
                <w:sz w:val="16"/>
                <w:szCs w:val="16"/>
              </w:rPr>
            </w:pPr>
          </w:p>
        </w:tc>
        <w:tc>
          <w:tcPr>
            <w:tcW w:w="5644" w:type="dxa"/>
            <w:hideMark/>
          </w:tcPr>
          <w:p w14:paraId="5BB66932" w14:textId="77777777" w:rsidR="002B3025" w:rsidRPr="00223BB3" w:rsidRDefault="002B3025" w:rsidP="00B929BB">
            <w:pPr>
              <w:rPr>
                <w:rFonts w:ascii="Verdana" w:hAnsi="Verdana" w:cs="Arial"/>
                <w:bCs/>
                <w:color w:val="000000"/>
                <w:sz w:val="16"/>
                <w:szCs w:val="16"/>
              </w:rPr>
            </w:pPr>
            <w:r w:rsidRPr="00223BB3">
              <w:rPr>
                <w:rFonts w:ascii="Verdana" w:hAnsi="Verdana" w:cs="Arial"/>
                <w:bCs/>
                <w:color w:val="000000"/>
                <w:sz w:val="16"/>
                <w:szCs w:val="16"/>
              </w:rPr>
              <w:t xml:space="preserve">Día, mes, año, hora. </w:t>
            </w:r>
          </w:p>
        </w:tc>
      </w:tr>
      <w:tr w:rsidR="002E3760" w:rsidRPr="002B3025" w14:paraId="65DDF5DF" w14:textId="77777777" w:rsidTr="00C60907">
        <w:trPr>
          <w:trHeight w:val="300"/>
        </w:trPr>
        <w:tc>
          <w:tcPr>
            <w:tcW w:w="3114" w:type="dxa"/>
            <w:vMerge w:val="restart"/>
            <w:noWrap/>
            <w:hideMark/>
          </w:tcPr>
          <w:p w14:paraId="7FBF0D2C" w14:textId="77777777" w:rsidR="002B3025" w:rsidRPr="00223BB3" w:rsidRDefault="002B3025" w:rsidP="00B929BB">
            <w:pPr>
              <w:rPr>
                <w:rFonts w:ascii="Verdana" w:hAnsi="Verdana" w:cs="Arial"/>
                <w:bCs/>
                <w:color w:val="000000"/>
                <w:sz w:val="16"/>
                <w:szCs w:val="16"/>
              </w:rPr>
            </w:pPr>
            <w:r w:rsidRPr="00223BB3">
              <w:rPr>
                <w:rFonts w:ascii="Verdana" w:eastAsia="Arial" w:hAnsi="Verdana" w:cs="Arial"/>
                <w:bCs/>
                <w:color w:val="000000"/>
                <w:sz w:val="16"/>
                <w:szCs w:val="16"/>
              </w:rPr>
              <w:t>Fecha de finalización del evento</w:t>
            </w:r>
          </w:p>
        </w:tc>
        <w:tc>
          <w:tcPr>
            <w:tcW w:w="5644" w:type="dxa"/>
            <w:hideMark/>
          </w:tcPr>
          <w:p w14:paraId="5F694DE3" w14:textId="77777777" w:rsidR="002B3025" w:rsidRPr="00223BB3" w:rsidRDefault="002B3025" w:rsidP="00B929BB">
            <w:pPr>
              <w:rPr>
                <w:rFonts w:ascii="Verdana" w:hAnsi="Verdana" w:cs="Arial"/>
                <w:bCs/>
                <w:color w:val="000000"/>
                <w:sz w:val="16"/>
                <w:szCs w:val="16"/>
              </w:rPr>
            </w:pPr>
            <w:r w:rsidRPr="00223BB3">
              <w:rPr>
                <w:rFonts w:ascii="Verdana" w:hAnsi="Verdana" w:cs="Arial"/>
                <w:bCs/>
                <w:color w:val="000000"/>
                <w:sz w:val="16"/>
                <w:szCs w:val="16"/>
              </w:rPr>
              <w:t>Fecha en que finaliza el evento.</w:t>
            </w:r>
          </w:p>
        </w:tc>
      </w:tr>
      <w:tr w:rsidR="002E3760" w:rsidRPr="002B3025" w14:paraId="02A132DB" w14:textId="77777777" w:rsidTr="00C60907">
        <w:trPr>
          <w:trHeight w:val="300"/>
        </w:trPr>
        <w:tc>
          <w:tcPr>
            <w:tcW w:w="3114" w:type="dxa"/>
            <w:vMerge/>
            <w:vAlign w:val="center"/>
            <w:hideMark/>
          </w:tcPr>
          <w:p w14:paraId="0F2E683F" w14:textId="77777777" w:rsidR="002B3025" w:rsidRPr="00223BB3" w:rsidRDefault="002B3025" w:rsidP="00B929BB">
            <w:pPr>
              <w:rPr>
                <w:rFonts w:ascii="Verdana" w:hAnsi="Verdana" w:cs="Arial"/>
                <w:bCs/>
                <w:color w:val="000000"/>
                <w:sz w:val="16"/>
                <w:szCs w:val="16"/>
              </w:rPr>
            </w:pPr>
          </w:p>
        </w:tc>
        <w:tc>
          <w:tcPr>
            <w:tcW w:w="5644" w:type="dxa"/>
            <w:hideMark/>
          </w:tcPr>
          <w:p w14:paraId="0261F283" w14:textId="77777777" w:rsidR="002B3025" w:rsidRPr="00223BB3" w:rsidRDefault="002B3025" w:rsidP="00B929BB">
            <w:pPr>
              <w:rPr>
                <w:rFonts w:ascii="Verdana" w:hAnsi="Verdana" w:cs="Arial"/>
                <w:bCs/>
                <w:color w:val="000000"/>
                <w:sz w:val="16"/>
                <w:szCs w:val="16"/>
              </w:rPr>
            </w:pPr>
            <w:r w:rsidRPr="00223BB3">
              <w:rPr>
                <w:rFonts w:ascii="Verdana" w:hAnsi="Verdana" w:cs="Arial"/>
                <w:bCs/>
                <w:color w:val="000000"/>
                <w:sz w:val="16"/>
                <w:szCs w:val="16"/>
              </w:rPr>
              <w:t xml:space="preserve">Día, mes, año, hora. </w:t>
            </w:r>
          </w:p>
        </w:tc>
      </w:tr>
      <w:tr w:rsidR="002E3760" w:rsidRPr="002B3025" w14:paraId="0D76F840" w14:textId="77777777" w:rsidTr="00C60907">
        <w:trPr>
          <w:trHeight w:val="300"/>
        </w:trPr>
        <w:tc>
          <w:tcPr>
            <w:tcW w:w="3114" w:type="dxa"/>
            <w:vMerge w:val="restart"/>
            <w:noWrap/>
            <w:hideMark/>
          </w:tcPr>
          <w:p w14:paraId="7D28B5ED" w14:textId="77777777" w:rsidR="002B3025" w:rsidRPr="00223BB3" w:rsidRDefault="002B3025" w:rsidP="00B929BB">
            <w:pPr>
              <w:rPr>
                <w:rFonts w:ascii="Verdana" w:hAnsi="Verdana" w:cs="Arial"/>
                <w:bCs/>
                <w:color w:val="000000"/>
                <w:sz w:val="16"/>
                <w:szCs w:val="16"/>
              </w:rPr>
            </w:pPr>
            <w:r w:rsidRPr="00223BB3">
              <w:rPr>
                <w:rFonts w:ascii="Verdana" w:eastAsia="Arial" w:hAnsi="Verdana" w:cs="Arial"/>
                <w:bCs/>
                <w:color w:val="000000"/>
                <w:sz w:val="16"/>
                <w:szCs w:val="16"/>
              </w:rPr>
              <w:t xml:space="preserve">Fecha del descubrimiento </w:t>
            </w:r>
          </w:p>
        </w:tc>
        <w:tc>
          <w:tcPr>
            <w:tcW w:w="5644" w:type="dxa"/>
            <w:hideMark/>
          </w:tcPr>
          <w:p w14:paraId="1DD8490B" w14:textId="77777777" w:rsidR="002B3025" w:rsidRPr="00223BB3" w:rsidRDefault="002B3025" w:rsidP="00B929BB">
            <w:pPr>
              <w:rPr>
                <w:rFonts w:ascii="Verdana" w:hAnsi="Verdana" w:cs="Arial"/>
                <w:bCs/>
                <w:color w:val="000000"/>
                <w:sz w:val="16"/>
                <w:szCs w:val="16"/>
              </w:rPr>
            </w:pPr>
            <w:r w:rsidRPr="00223BB3">
              <w:rPr>
                <w:rFonts w:ascii="Verdana" w:hAnsi="Verdana" w:cs="Arial"/>
                <w:bCs/>
                <w:color w:val="000000"/>
                <w:sz w:val="16"/>
                <w:szCs w:val="16"/>
              </w:rPr>
              <w:t>Fecha en que se descubre el evento.</w:t>
            </w:r>
          </w:p>
        </w:tc>
      </w:tr>
      <w:tr w:rsidR="002E3760" w:rsidRPr="002B3025" w14:paraId="6F94E1B6" w14:textId="77777777" w:rsidTr="00C60907">
        <w:trPr>
          <w:trHeight w:val="300"/>
        </w:trPr>
        <w:tc>
          <w:tcPr>
            <w:tcW w:w="3114" w:type="dxa"/>
            <w:vMerge/>
            <w:vAlign w:val="center"/>
            <w:hideMark/>
          </w:tcPr>
          <w:p w14:paraId="281E6D24" w14:textId="77777777" w:rsidR="002B3025" w:rsidRPr="00223BB3" w:rsidRDefault="002B3025" w:rsidP="00B929BB">
            <w:pPr>
              <w:rPr>
                <w:rFonts w:ascii="Verdana" w:hAnsi="Verdana" w:cs="Arial"/>
                <w:bCs/>
                <w:color w:val="000000"/>
                <w:sz w:val="16"/>
                <w:szCs w:val="16"/>
              </w:rPr>
            </w:pPr>
          </w:p>
        </w:tc>
        <w:tc>
          <w:tcPr>
            <w:tcW w:w="5644" w:type="dxa"/>
            <w:hideMark/>
          </w:tcPr>
          <w:p w14:paraId="324DD944" w14:textId="77777777" w:rsidR="002B3025" w:rsidRPr="00223BB3" w:rsidRDefault="002B3025" w:rsidP="00B929BB">
            <w:pPr>
              <w:rPr>
                <w:rFonts w:ascii="Verdana" w:hAnsi="Verdana" w:cs="Arial"/>
                <w:bCs/>
                <w:color w:val="000000"/>
                <w:sz w:val="16"/>
                <w:szCs w:val="16"/>
              </w:rPr>
            </w:pPr>
            <w:r w:rsidRPr="00223BB3">
              <w:rPr>
                <w:rFonts w:ascii="Verdana" w:hAnsi="Verdana" w:cs="Arial"/>
                <w:bCs/>
                <w:color w:val="000000"/>
                <w:sz w:val="16"/>
                <w:szCs w:val="16"/>
              </w:rPr>
              <w:t xml:space="preserve">Día, mes, año, hora. </w:t>
            </w:r>
          </w:p>
        </w:tc>
      </w:tr>
      <w:tr w:rsidR="002E3760" w:rsidRPr="002B3025" w14:paraId="75F32710" w14:textId="77777777" w:rsidTr="00C60907">
        <w:trPr>
          <w:trHeight w:val="360"/>
        </w:trPr>
        <w:tc>
          <w:tcPr>
            <w:tcW w:w="3114" w:type="dxa"/>
            <w:vMerge w:val="restart"/>
            <w:noWrap/>
            <w:hideMark/>
          </w:tcPr>
          <w:p w14:paraId="3DA4056B" w14:textId="77777777" w:rsidR="002B3025" w:rsidRPr="00223BB3" w:rsidRDefault="002B3025" w:rsidP="00B929BB">
            <w:pPr>
              <w:rPr>
                <w:rFonts w:ascii="Verdana" w:hAnsi="Verdana" w:cs="Arial"/>
                <w:bCs/>
                <w:color w:val="000000"/>
                <w:sz w:val="16"/>
                <w:szCs w:val="16"/>
              </w:rPr>
            </w:pPr>
            <w:r w:rsidRPr="00223BB3">
              <w:rPr>
                <w:rFonts w:ascii="Verdana" w:eastAsia="Arial" w:hAnsi="Verdana" w:cs="Arial"/>
                <w:bCs/>
                <w:color w:val="000000"/>
                <w:sz w:val="16"/>
                <w:szCs w:val="16"/>
              </w:rPr>
              <w:t>Fecha de registro contable</w:t>
            </w:r>
          </w:p>
        </w:tc>
        <w:tc>
          <w:tcPr>
            <w:tcW w:w="5644" w:type="dxa"/>
            <w:hideMark/>
          </w:tcPr>
          <w:p w14:paraId="5870AEEA" w14:textId="77777777" w:rsidR="002B3025" w:rsidRPr="00223BB3" w:rsidRDefault="002B3025" w:rsidP="00B929BB">
            <w:pPr>
              <w:rPr>
                <w:rFonts w:ascii="Verdana" w:hAnsi="Verdana" w:cs="Arial"/>
                <w:bCs/>
                <w:color w:val="000000"/>
                <w:sz w:val="16"/>
                <w:szCs w:val="16"/>
              </w:rPr>
            </w:pPr>
            <w:r w:rsidRPr="00223BB3">
              <w:rPr>
                <w:rFonts w:ascii="Verdana" w:hAnsi="Verdana" w:cs="Arial"/>
                <w:bCs/>
                <w:color w:val="000000"/>
                <w:sz w:val="16"/>
                <w:szCs w:val="16"/>
              </w:rPr>
              <w:t>Fecha en que se registra contablemente la pérdida por el evento.</w:t>
            </w:r>
          </w:p>
        </w:tc>
      </w:tr>
      <w:tr w:rsidR="002E3760" w:rsidRPr="002B3025" w14:paraId="66324889" w14:textId="77777777" w:rsidTr="00C60907">
        <w:trPr>
          <w:trHeight w:val="300"/>
        </w:trPr>
        <w:tc>
          <w:tcPr>
            <w:tcW w:w="3114" w:type="dxa"/>
            <w:vMerge/>
            <w:vAlign w:val="center"/>
            <w:hideMark/>
          </w:tcPr>
          <w:p w14:paraId="0C2E8BC6" w14:textId="77777777" w:rsidR="002B3025" w:rsidRPr="00223BB3" w:rsidRDefault="002B3025" w:rsidP="00B929BB">
            <w:pPr>
              <w:rPr>
                <w:rFonts w:ascii="Verdana" w:hAnsi="Verdana" w:cs="Arial"/>
                <w:bCs/>
                <w:color w:val="000000"/>
                <w:sz w:val="16"/>
                <w:szCs w:val="16"/>
              </w:rPr>
            </w:pPr>
          </w:p>
        </w:tc>
        <w:tc>
          <w:tcPr>
            <w:tcW w:w="5644" w:type="dxa"/>
            <w:hideMark/>
          </w:tcPr>
          <w:p w14:paraId="70B4E140" w14:textId="77777777" w:rsidR="002B3025" w:rsidRPr="00223BB3" w:rsidRDefault="002B3025" w:rsidP="00B929BB">
            <w:pPr>
              <w:rPr>
                <w:rFonts w:ascii="Verdana" w:hAnsi="Verdana" w:cs="Arial"/>
                <w:bCs/>
                <w:color w:val="000000"/>
                <w:sz w:val="16"/>
                <w:szCs w:val="16"/>
              </w:rPr>
            </w:pPr>
            <w:r w:rsidRPr="00223BB3">
              <w:rPr>
                <w:rFonts w:ascii="Verdana" w:hAnsi="Verdana" w:cs="Arial"/>
                <w:bCs/>
                <w:color w:val="000000"/>
                <w:sz w:val="16"/>
                <w:szCs w:val="16"/>
              </w:rPr>
              <w:t xml:space="preserve">Día, mes, año, hora. </w:t>
            </w:r>
          </w:p>
        </w:tc>
      </w:tr>
      <w:tr w:rsidR="002E3760" w:rsidRPr="002B3025" w14:paraId="2659B1A1" w14:textId="77777777" w:rsidTr="00C60907">
        <w:trPr>
          <w:trHeight w:val="510"/>
        </w:trPr>
        <w:tc>
          <w:tcPr>
            <w:tcW w:w="3114" w:type="dxa"/>
            <w:vMerge w:val="restart"/>
            <w:noWrap/>
            <w:hideMark/>
          </w:tcPr>
          <w:p w14:paraId="3215AC60" w14:textId="77777777" w:rsidR="002B3025" w:rsidRPr="00223BB3" w:rsidRDefault="002B3025" w:rsidP="00B929BB">
            <w:pPr>
              <w:rPr>
                <w:rFonts w:ascii="Verdana" w:hAnsi="Verdana" w:cs="Arial"/>
                <w:bCs/>
                <w:color w:val="000000"/>
                <w:sz w:val="16"/>
                <w:szCs w:val="16"/>
              </w:rPr>
            </w:pPr>
            <w:r w:rsidRPr="00223BB3">
              <w:rPr>
                <w:rFonts w:ascii="Verdana" w:eastAsia="Arial" w:hAnsi="Verdana" w:cs="Arial"/>
                <w:bCs/>
                <w:color w:val="000000"/>
                <w:sz w:val="16"/>
                <w:szCs w:val="16"/>
              </w:rPr>
              <w:t>Fecha de recuperación</w:t>
            </w:r>
          </w:p>
        </w:tc>
        <w:tc>
          <w:tcPr>
            <w:tcW w:w="5644" w:type="dxa"/>
            <w:hideMark/>
          </w:tcPr>
          <w:p w14:paraId="0482BB57" w14:textId="77777777" w:rsidR="002B3025" w:rsidRPr="00223BB3" w:rsidRDefault="002B3025" w:rsidP="00B929BB">
            <w:pPr>
              <w:jc w:val="both"/>
              <w:rPr>
                <w:rFonts w:ascii="Verdana" w:hAnsi="Verdana" w:cs="Arial"/>
                <w:bCs/>
                <w:color w:val="000000"/>
                <w:sz w:val="16"/>
                <w:szCs w:val="16"/>
              </w:rPr>
            </w:pPr>
            <w:r w:rsidRPr="00223BB3">
              <w:rPr>
                <w:rFonts w:ascii="Verdana" w:hAnsi="Verdana" w:cs="Arial"/>
                <w:bCs/>
                <w:color w:val="000000"/>
                <w:sz w:val="16"/>
                <w:szCs w:val="16"/>
              </w:rPr>
              <w:t>Fecha en la cual se recupera total o parcialmente el dinero empleado para atender un evento de riesgo operacional.</w:t>
            </w:r>
          </w:p>
        </w:tc>
      </w:tr>
      <w:tr w:rsidR="002E3760" w:rsidRPr="002B3025" w14:paraId="69BC2F03" w14:textId="77777777" w:rsidTr="00C60907">
        <w:trPr>
          <w:trHeight w:val="300"/>
        </w:trPr>
        <w:tc>
          <w:tcPr>
            <w:tcW w:w="3114" w:type="dxa"/>
            <w:vMerge/>
            <w:vAlign w:val="center"/>
            <w:hideMark/>
          </w:tcPr>
          <w:p w14:paraId="5A0029BB" w14:textId="77777777" w:rsidR="002B3025" w:rsidRPr="00223BB3" w:rsidRDefault="002B3025" w:rsidP="00B929BB">
            <w:pPr>
              <w:rPr>
                <w:rFonts w:ascii="Verdana" w:hAnsi="Verdana" w:cs="Arial"/>
                <w:bCs/>
                <w:color w:val="000000"/>
                <w:sz w:val="16"/>
                <w:szCs w:val="16"/>
              </w:rPr>
            </w:pPr>
          </w:p>
        </w:tc>
        <w:tc>
          <w:tcPr>
            <w:tcW w:w="5644" w:type="dxa"/>
            <w:hideMark/>
          </w:tcPr>
          <w:p w14:paraId="534DC645" w14:textId="77777777" w:rsidR="002B3025" w:rsidRPr="00223BB3" w:rsidRDefault="002B3025" w:rsidP="00B929BB">
            <w:pPr>
              <w:jc w:val="both"/>
              <w:rPr>
                <w:rFonts w:ascii="Verdana" w:hAnsi="Verdana" w:cs="Arial"/>
                <w:bCs/>
                <w:color w:val="000000"/>
                <w:sz w:val="16"/>
                <w:szCs w:val="16"/>
              </w:rPr>
            </w:pPr>
            <w:r w:rsidRPr="00223BB3">
              <w:rPr>
                <w:rFonts w:ascii="Verdana" w:hAnsi="Verdana" w:cs="Arial"/>
                <w:bCs/>
                <w:color w:val="000000"/>
                <w:sz w:val="16"/>
                <w:szCs w:val="16"/>
              </w:rPr>
              <w:t xml:space="preserve">Día, mes, año, hora. </w:t>
            </w:r>
          </w:p>
        </w:tc>
      </w:tr>
      <w:tr w:rsidR="002E3760" w:rsidRPr="002B3025" w14:paraId="7D4E71B9" w14:textId="77777777" w:rsidTr="00C60907">
        <w:trPr>
          <w:trHeight w:val="300"/>
        </w:trPr>
        <w:tc>
          <w:tcPr>
            <w:tcW w:w="3114" w:type="dxa"/>
            <w:noWrap/>
            <w:hideMark/>
          </w:tcPr>
          <w:p w14:paraId="73648025" w14:textId="77777777" w:rsidR="002B3025" w:rsidRPr="00223BB3" w:rsidRDefault="002B3025" w:rsidP="00B929BB">
            <w:pPr>
              <w:rPr>
                <w:rFonts w:ascii="Verdana" w:hAnsi="Verdana" w:cs="Arial"/>
                <w:bCs/>
                <w:color w:val="000000"/>
                <w:sz w:val="16"/>
                <w:szCs w:val="16"/>
              </w:rPr>
            </w:pPr>
            <w:r w:rsidRPr="00223BB3">
              <w:rPr>
                <w:rFonts w:ascii="Verdana" w:eastAsia="Arial" w:hAnsi="Verdana" w:cs="Arial"/>
                <w:bCs/>
                <w:color w:val="000000"/>
                <w:sz w:val="16"/>
                <w:szCs w:val="16"/>
              </w:rPr>
              <w:t>Divisa</w:t>
            </w:r>
          </w:p>
        </w:tc>
        <w:tc>
          <w:tcPr>
            <w:tcW w:w="5644" w:type="dxa"/>
            <w:hideMark/>
          </w:tcPr>
          <w:p w14:paraId="71950785" w14:textId="77777777" w:rsidR="002B3025" w:rsidRPr="00223BB3" w:rsidRDefault="002B3025" w:rsidP="00B929BB">
            <w:pPr>
              <w:jc w:val="both"/>
              <w:rPr>
                <w:rFonts w:ascii="Verdana" w:hAnsi="Verdana" w:cs="Arial"/>
                <w:bCs/>
                <w:color w:val="000000"/>
                <w:sz w:val="16"/>
                <w:szCs w:val="16"/>
              </w:rPr>
            </w:pPr>
            <w:r w:rsidRPr="00223BB3">
              <w:rPr>
                <w:rFonts w:ascii="Verdana" w:hAnsi="Verdana" w:cs="Arial"/>
                <w:bCs/>
                <w:color w:val="000000"/>
                <w:sz w:val="16"/>
                <w:szCs w:val="16"/>
              </w:rPr>
              <w:t>Moneda extranjera en la que se materializa el evento.</w:t>
            </w:r>
          </w:p>
        </w:tc>
      </w:tr>
      <w:tr w:rsidR="002E3760" w:rsidRPr="002B3025" w14:paraId="138D37E0" w14:textId="77777777" w:rsidTr="00C60907">
        <w:trPr>
          <w:trHeight w:val="670"/>
        </w:trPr>
        <w:tc>
          <w:tcPr>
            <w:tcW w:w="3114" w:type="dxa"/>
            <w:noWrap/>
            <w:hideMark/>
          </w:tcPr>
          <w:p w14:paraId="456DC283" w14:textId="77777777" w:rsidR="002B3025" w:rsidRPr="00223BB3" w:rsidRDefault="002B3025" w:rsidP="00B929BB">
            <w:pPr>
              <w:rPr>
                <w:rFonts w:ascii="Verdana" w:hAnsi="Verdana" w:cs="Arial"/>
                <w:bCs/>
                <w:color w:val="000000"/>
                <w:sz w:val="16"/>
                <w:szCs w:val="16"/>
              </w:rPr>
            </w:pPr>
            <w:r w:rsidRPr="00223BB3">
              <w:rPr>
                <w:rFonts w:ascii="Verdana" w:eastAsia="Arial" w:hAnsi="Verdana" w:cs="Arial"/>
                <w:bCs/>
                <w:color w:val="000000"/>
                <w:sz w:val="16"/>
                <w:szCs w:val="16"/>
              </w:rPr>
              <w:t>Cuantía de pérdidas bruta</w:t>
            </w:r>
          </w:p>
        </w:tc>
        <w:tc>
          <w:tcPr>
            <w:tcW w:w="5644" w:type="dxa"/>
            <w:hideMark/>
          </w:tcPr>
          <w:p w14:paraId="1ECC029E" w14:textId="46BFD896" w:rsidR="002B3025" w:rsidRPr="00223BB3" w:rsidRDefault="002B3025" w:rsidP="00B929BB">
            <w:pPr>
              <w:jc w:val="both"/>
              <w:rPr>
                <w:rFonts w:ascii="Verdana" w:hAnsi="Verdana" w:cs="Arial"/>
                <w:bCs/>
                <w:color w:val="000000"/>
                <w:sz w:val="16"/>
                <w:szCs w:val="16"/>
              </w:rPr>
            </w:pPr>
            <w:r w:rsidRPr="00223BB3">
              <w:rPr>
                <w:rFonts w:ascii="Verdana" w:hAnsi="Verdana" w:cs="Arial"/>
                <w:bCs/>
                <w:color w:val="000000"/>
                <w:sz w:val="16"/>
                <w:szCs w:val="16"/>
              </w:rPr>
              <w:t xml:space="preserve">El monto de dinero (moneda legal) a que asciende la pérdida bruta. El registro debe incluir los conceptos relacionados en el </w:t>
            </w:r>
            <w:r w:rsidR="004A0F5A" w:rsidRPr="00223BB3">
              <w:rPr>
                <w:rFonts w:ascii="Verdana" w:hAnsi="Verdana" w:cs="Arial"/>
                <w:bCs/>
                <w:color w:val="000000"/>
                <w:sz w:val="16"/>
                <w:szCs w:val="16"/>
              </w:rPr>
              <w:t xml:space="preserve">párrafo </w:t>
            </w:r>
            <w:r w:rsidR="00724E64" w:rsidRPr="00223BB3">
              <w:rPr>
                <w:rFonts w:ascii="Verdana" w:hAnsi="Verdana" w:cs="Arial"/>
                <w:bCs/>
                <w:color w:val="000000"/>
                <w:sz w:val="16"/>
                <w:szCs w:val="16"/>
              </w:rPr>
              <w:t>1.1.3.142.</w:t>
            </w:r>
          </w:p>
        </w:tc>
      </w:tr>
      <w:tr w:rsidR="002E3760" w:rsidRPr="002B3025" w14:paraId="17EB0073" w14:textId="77777777" w:rsidTr="00C60907">
        <w:trPr>
          <w:trHeight w:val="510"/>
        </w:trPr>
        <w:tc>
          <w:tcPr>
            <w:tcW w:w="3114" w:type="dxa"/>
            <w:noWrap/>
            <w:hideMark/>
          </w:tcPr>
          <w:p w14:paraId="2BA54300" w14:textId="77777777" w:rsidR="002B3025" w:rsidRPr="00223BB3" w:rsidRDefault="002B3025" w:rsidP="00B929BB">
            <w:pPr>
              <w:rPr>
                <w:rFonts w:ascii="Verdana" w:hAnsi="Verdana" w:cs="Arial"/>
                <w:bCs/>
                <w:color w:val="000000"/>
                <w:sz w:val="16"/>
                <w:szCs w:val="16"/>
              </w:rPr>
            </w:pPr>
            <w:r w:rsidRPr="00223BB3">
              <w:rPr>
                <w:rFonts w:ascii="Verdana" w:eastAsia="Arial" w:hAnsi="Verdana" w:cs="Arial"/>
                <w:bCs/>
                <w:color w:val="000000"/>
                <w:sz w:val="16"/>
                <w:szCs w:val="16"/>
              </w:rPr>
              <w:t>Cuantía total recuperada</w:t>
            </w:r>
          </w:p>
        </w:tc>
        <w:tc>
          <w:tcPr>
            <w:tcW w:w="5644" w:type="dxa"/>
            <w:hideMark/>
          </w:tcPr>
          <w:p w14:paraId="7E081A6F" w14:textId="77777777" w:rsidR="002B3025" w:rsidRPr="00223BB3" w:rsidRDefault="002B3025" w:rsidP="00B929BB">
            <w:pPr>
              <w:jc w:val="both"/>
              <w:rPr>
                <w:rFonts w:ascii="Verdana" w:hAnsi="Verdana" w:cs="Arial"/>
                <w:bCs/>
                <w:color w:val="000000"/>
                <w:sz w:val="16"/>
                <w:szCs w:val="16"/>
              </w:rPr>
            </w:pPr>
            <w:r w:rsidRPr="00223BB3">
              <w:rPr>
                <w:rFonts w:ascii="Verdana" w:hAnsi="Verdana" w:cs="Arial"/>
                <w:bCs/>
                <w:color w:val="000000"/>
                <w:sz w:val="16"/>
                <w:szCs w:val="16"/>
              </w:rPr>
              <w:t>El monto de dinero recuperado por acción directa de la entidad. Incluye las cuantías recuperadas por seguros.</w:t>
            </w:r>
          </w:p>
        </w:tc>
      </w:tr>
      <w:tr w:rsidR="002E3760" w:rsidRPr="002B3025" w14:paraId="2F758DCA" w14:textId="77777777" w:rsidTr="00C60907">
        <w:trPr>
          <w:trHeight w:val="510"/>
        </w:trPr>
        <w:tc>
          <w:tcPr>
            <w:tcW w:w="3114" w:type="dxa"/>
            <w:noWrap/>
            <w:hideMark/>
          </w:tcPr>
          <w:p w14:paraId="2D7CF373" w14:textId="77777777" w:rsidR="002B3025" w:rsidRPr="00223BB3" w:rsidRDefault="002B3025" w:rsidP="00B929BB">
            <w:pPr>
              <w:rPr>
                <w:rFonts w:ascii="Verdana" w:hAnsi="Verdana" w:cs="Arial"/>
                <w:bCs/>
                <w:color w:val="000000"/>
                <w:sz w:val="16"/>
                <w:szCs w:val="16"/>
              </w:rPr>
            </w:pPr>
            <w:r w:rsidRPr="00223BB3">
              <w:rPr>
                <w:rFonts w:ascii="Verdana" w:eastAsia="Arial" w:hAnsi="Verdana" w:cs="Arial"/>
                <w:bCs/>
                <w:color w:val="000000"/>
                <w:sz w:val="16"/>
                <w:szCs w:val="16"/>
              </w:rPr>
              <w:t>Cuantía recuperada por seguros</w:t>
            </w:r>
          </w:p>
        </w:tc>
        <w:tc>
          <w:tcPr>
            <w:tcW w:w="5644" w:type="dxa"/>
            <w:hideMark/>
          </w:tcPr>
          <w:p w14:paraId="2D945B0B" w14:textId="77777777" w:rsidR="002B3025" w:rsidRPr="00223BB3" w:rsidRDefault="002B3025" w:rsidP="00B929BB">
            <w:pPr>
              <w:jc w:val="both"/>
              <w:rPr>
                <w:rFonts w:ascii="Verdana" w:hAnsi="Verdana" w:cs="Arial"/>
                <w:bCs/>
                <w:color w:val="000000"/>
                <w:sz w:val="16"/>
                <w:szCs w:val="16"/>
              </w:rPr>
            </w:pPr>
            <w:r w:rsidRPr="00223BB3">
              <w:rPr>
                <w:rFonts w:ascii="Verdana" w:hAnsi="Verdana" w:cs="Arial"/>
                <w:bCs/>
                <w:color w:val="000000"/>
                <w:sz w:val="16"/>
                <w:szCs w:val="16"/>
              </w:rPr>
              <w:t>Corresponde al monto de dinero recuperado por el cubrimiento a través de un seguro.</w:t>
            </w:r>
          </w:p>
        </w:tc>
      </w:tr>
      <w:tr w:rsidR="002E3760" w:rsidRPr="002B3025" w14:paraId="2F45D2F1" w14:textId="77777777" w:rsidTr="00C60907">
        <w:trPr>
          <w:trHeight w:val="510"/>
        </w:trPr>
        <w:tc>
          <w:tcPr>
            <w:tcW w:w="3114" w:type="dxa"/>
            <w:noWrap/>
            <w:hideMark/>
          </w:tcPr>
          <w:p w14:paraId="4BCD3B39" w14:textId="77777777" w:rsidR="002B3025" w:rsidRPr="00223BB3" w:rsidRDefault="002B3025" w:rsidP="00B929BB">
            <w:pPr>
              <w:rPr>
                <w:rFonts w:ascii="Verdana" w:hAnsi="Verdana" w:cs="Arial"/>
                <w:bCs/>
                <w:color w:val="000000"/>
                <w:sz w:val="16"/>
                <w:szCs w:val="16"/>
              </w:rPr>
            </w:pPr>
            <w:r w:rsidRPr="00223BB3">
              <w:rPr>
                <w:rFonts w:ascii="Verdana" w:eastAsia="Arial" w:hAnsi="Verdana" w:cs="Arial"/>
                <w:bCs/>
                <w:color w:val="000000"/>
                <w:sz w:val="16"/>
                <w:szCs w:val="16"/>
              </w:rPr>
              <w:t>Cuantía de otras recuperaciones</w:t>
            </w:r>
          </w:p>
        </w:tc>
        <w:tc>
          <w:tcPr>
            <w:tcW w:w="5644" w:type="dxa"/>
            <w:hideMark/>
          </w:tcPr>
          <w:p w14:paraId="1B65E66E" w14:textId="77777777" w:rsidR="002B3025" w:rsidRPr="00223BB3" w:rsidRDefault="002B3025" w:rsidP="00B929BB">
            <w:pPr>
              <w:rPr>
                <w:rFonts w:ascii="Verdana" w:hAnsi="Verdana" w:cs="Arial"/>
                <w:bCs/>
                <w:color w:val="000000"/>
                <w:sz w:val="16"/>
                <w:szCs w:val="16"/>
              </w:rPr>
            </w:pPr>
            <w:r w:rsidRPr="00223BB3">
              <w:rPr>
                <w:rFonts w:ascii="Verdana" w:hAnsi="Verdana" w:cs="Arial"/>
                <w:bCs/>
                <w:color w:val="000000"/>
                <w:sz w:val="16"/>
                <w:szCs w:val="16"/>
              </w:rPr>
              <w:t xml:space="preserve">Corresponde al monto de dinero recuperado por otros mecanismos diferentes al cubrimiento a través de un seguro. </w:t>
            </w:r>
          </w:p>
        </w:tc>
      </w:tr>
      <w:tr w:rsidR="002E3760" w:rsidRPr="002B3025" w14:paraId="546758FB" w14:textId="77777777" w:rsidTr="00C60907">
        <w:trPr>
          <w:trHeight w:val="510"/>
        </w:trPr>
        <w:tc>
          <w:tcPr>
            <w:tcW w:w="3114" w:type="dxa"/>
            <w:noWrap/>
          </w:tcPr>
          <w:p w14:paraId="24BA3E3F" w14:textId="77777777" w:rsidR="002B3025" w:rsidRPr="00223BB3" w:rsidRDefault="002B3025" w:rsidP="00B929BB">
            <w:pPr>
              <w:rPr>
                <w:rFonts w:ascii="Verdana" w:eastAsia="Arial" w:hAnsi="Verdana" w:cs="Arial"/>
                <w:bCs/>
                <w:color w:val="000000"/>
                <w:sz w:val="16"/>
                <w:szCs w:val="16"/>
              </w:rPr>
            </w:pPr>
            <w:r w:rsidRPr="00223BB3">
              <w:rPr>
                <w:rFonts w:ascii="Verdana" w:eastAsia="Arial" w:hAnsi="Verdana" w:cs="Arial"/>
                <w:bCs/>
                <w:color w:val="000000"/>
                <w:sz w:val="16"/>
                <w:szCs w:val="16"/>
              </w:rPr>
              <w:t>Cuantía de pérdidas neta de recuperaciones</w:t>
            </w:r>
          </w:p>
        </w:tc>
        <w:tc>
          <w:tcPr>
            <w:tcW w:w="5644" w:type="dxa"/>
          </w:tcPr>
          <w:p w14:paraId="17F2B06F" w14:textId="77777777" w:rsidR="002B3025" w:rsidRPr="00223BB3" w:rsidRDefault="002B3025" w:rsidP="12B437D6">
            <w:pPr>
              <w:rPr>
                <w:rFonts w:ascii="Verdana" w:hAnsi="Verdana" w:cs="Arial"/>
                <w:color w:val="000000"/>
                <w:sz w:val="16"/>
                <w:szCs w:val="16"/>
              </w:rPr>
            </w:pPr>
            <w:r w:rsidRPr="00223BB3">
              <w:rPr>
                <w:rFonts w:ascii="Verdana" w:hAnsi="Verdana" w:cs="Arial"/>
                <w:color w:val="000000" w:themeColor="text1"/>
                <w:sz w:val="16"/>
                <w:szCs w:val="16"/>
              </w:rPr>
              <w:t xml:space="preserve">El monto de dinero (moneda legal) a que asciende la pérdida teniendo en cuenta la cuantía total recuperada. </w:t>
            </w:r>
          </w:p>
        </w:tc>
      </w:tr>
      <w:tr w:rsidR="002E3760" w:rsidRPr="002B3025" w14:paraId="1B00F484" w14:textId="77777777" w:rsidTr="00C60907">
        <w:trPr>
          <w:trHeight w:val="510"/>
        </w:trPr>
        <w:tc>
          <w:tcPr>
            <w:tcW w:w="3114" w:type="dxa"/>
            <w:noWrap/>
            <w:hideMark/>
          </w:tcPr>
          <w:p w14:paraId="62B4C508" w14:textId="77777777" w:rsidR="007E19A3" w:rsidRDefault="002B3025" w:rsidP="00B929BB">
            <w:pPr>
              <w:rPr>
                <w:rFonts w:ascii="Verdana" w:eastAsia="Arial" w:hAnsi="Verdana" w:cs="Arial"/>
                <w:bCs/>
                <w:color w:val="000000"/>
                <w:sz w:val="16"/>
                <w:szCs w:val="16"/>
              </w:rPr>
            </w:pPr>
            <w:r w:rsidRPr="00223BB3">
              <w:rPr>
                <w:rFonts w:ascii="Verdana" w:eastAsia="Arial" w:hAnsi="Verdana" w:cs="Arial"/>
                <w:bCs/>
                <w:color w:val="000000"/>
                <w:sz w:val="16"/>
                <w:szCs w:val="16"/>
              </w:rPr>
              <w:t>Clase de riesgo</w:t>
            </w:r>
          </w:p>
          <w:p w14:paraId="1BCD7A0A" w14:textId="69626FF3" w:rsidR="002B3025" w:rsidRPr="00223BB3" w:rsidRDefault="002B3025" w:rsidP="00B929BB">
            <w:pPr>
              <w:rPr>
                <w:rFonts w:ascii="Verdana" w:hAnsi="Verdana" w:cs="Arial"/>
                <w:bCs/>
                <w:color w:val="000000"/>
                <w:sz w:val="16"/>
                <w:szCs w:val="16"/>
              </w:rPr>
            </w:pPr>
            <w:r w:rsidRPr="00223BB3">
              <w:rPr>
                <w:rFonts w:ascii="Verdana" w:hAnsi="Verdana" w:cs="Arial"/>
                <w:bCs/>
                <w:sz w:val="16"/>
                <w:szCs w:val="16"/>
              </w:rPr>
              <w:t>operacional</w:t>
            </w:r>
          </w:p>
        </w:tc>
        <w:tc>
          <w:tcPr>
            <w:tcW w:w="5644" w:type="dxa"/>
            <w:hideMark/>
          </w:tcPr>
          <w:p w14:paraId="34CF97D7" w14:textId="6E5928AB" w:rsidR="002B3025" w:rsidRPr="00223BB3" w:rsidRDefault="002B3025" w:rsidP="00B929BB">
            <w:pPr>
              <w:rPr>
                <w:rFonts w:ascii="Verdana" w:hAnsi="Verdana" w:cs="Arial"/>
                <w:bCs/>
                <w:color w:val="000000"/>
                <w:sz w:val="16"/>
                <w:szCs w:val="16"/>
              </w:rPr>
            </w:pPr>
            <w:r w:rsidRPr="00223BB3">
              <w:rPr>
                <w:rFonts w:ascii="Verdana" w:hAnsi="Verdana" w:cs="Arial"/>
                <w:bCs/>
                <w:color w:val="000000"/>
                <w:sz w:val="16"/>
                <w:szCs w:val="16"/>
              </w:rPr>
              <w:t xml:space="preserve">Especifica la clase de riesgo, según la clasificación adoptada en </w:t>
            </w:r>
            <w:r w:rsidR="00FF11E0" w:rsidRPr="00223BB3">
              <w:rPr>
                <w:rFonts w:ascii="Verdana" w:hAnsi="Verdana" w:cs="Arial"/>
                <w:bCs/>
                <w:color w:val="000000"/>
                <w:sz w:val="16"/>
                <w:szCs w:val="16"/>
              </w:rPr>
              <w:t>los p</w:t>
            </w:r>
            <w:r w:rsidR="006E6547" w:rsidRPr="00223BB3">
              <w:rPr>
                <w:rFonts w:ascii="Verdana" w:hAnsi="Verdana" w:cs="Arial"/>
                <w:bCs/>
                <w:color w:val="000000"/>
                <w:sz w:val="16"/>
                <w:szCs w:val="16"/>
              </w:rPr>
              <w:t xml:space="preserve">árrafos 1.1.3.146. y 1.1.3.147. </w:t>
            </w:r>
          </w:p>
        </w:tc>
      </w:tr>
      <w:tr w:rsidR="002E3760" w:rsidRPr="002B3025" w14:paraId="06E090CF" w14:textId="77777777" w:rsidTr="00C60907">
        <w:trPr>
          <w:trHeight w:val="300"/>
        </w:trPr>
        <w:tc>
          <w:tcPr>
            <w:tcW w:w="3114" w:type="dxa"/>
            <w:noWrap/>
            <w:hideMark/>
          </w:tcPr>
          <w:p w14:paraId="0EB12487" w14:textId="77777777" w:rsidR="002B3025" w:rsidRPr="00223BB3" w:rsidRDefault="002B3025" w:rsidP="00B929BB">
            <w:pPr>
              <w:rPr>
                <w:rFonts w:ascii="Verdana" w:hAnsi="Verdana" w:cs="Arial"/>
                <w:bCs/>
                <w:color w:val="000000"/>
                <w:sz w:val="16"/>
                <w:szCs w:val="16"/>
              </w:rPr>
            </w:pPr>
            <w:r w:rsidRPr="00223BB3">
              <w:rPr>
                <w:rFonts w:ascii="Verdana" w:eastAsia="Arial" w:hAnsi="Verdana" w:cs="Arial"/>
                <w:bCs/>
                <w:color w:val="000000"/>
                <w:sz w:val="16"/>
                <w:szCs w:val="16"/>
              </w:rPr>
              <w:t>Producto/servicio afectado</w:t>
            </w:r>
          </w:p>
        </w:tc>
        <w:tc>
          <w:tcPr>
            <w:tcW w:w="5644" w:type="dxa"/>
            <w:hideMark/>
          </w:tcPr>
          <w:p w14:paraId="3CD307D7" w14:textId="77777777" w:rsidR="002B3025" w:rsidRPr="00223BB3" w:rsidRDefault="002B3025" w:rsidP="00B929BB">
            <w:pPr>
              <w:rPr>
                <w:rFonts w:ascii="Verdana" w:hAnsi="Verdana" w:cs="Arial"/>
                <w:bCs/>
                <w:color w:val="000000"/>
                <w:sz w:val="16"/>
                <w:szCs w:val="16"/>
              </w:rPr>
            </w:pPr>
            <w:r w:rsidRPr="00223BB3">
              <w:rPr>
                <w:rFonts w:ascii="Verdana" w:hAnsi="Verdana" w:cs="Arial"/>
                <w:bCs/>
                <w:color w:val="000000"/>
                <w:sz w:val="16"/>
                <w:szCs w:val="16"/>
              </w:rPr>
              <w:t xml:space="preserve">Identifica el producto o servicio afectado. </w:t>
            </w:r>
          </w:p>
        </w:tc>
      </w:tr>
      <w:tr w:rsidR="002E3760" w:rsidRPr="002B3025" w14:paraId="10589B8F" w14:textId="77777777" w:rsidTr="00C60907">
        <w:trPr>
          <w:trHeight w:val="300"/>
        </w:trPr>
        <w:tc>
          <w:tcPr>
            <w:tcW w:w="3114" w:type="dxa"/>
            <w:noWrap/>
            <w:hideMark/>
          </w:tcPr>
          <w:p w14:paraId="70201689" w14:textId="77777777" w:rsidR="002B3025" w:rsidRPr="00223BB3" w:rsidRDefault="002B3025" w:rsidP="00B929BB">
            <w:pPr>
              <w:rPr>
                <w:rFonts w:ascii="Verdana" w:hAnsi="Verdana" w:cs="Arial"/>
                <w:bCs/>
                <w:color w:val="000000"/>
                <w:sz w:val="16"/>
                <w:szCs w:val="16"/>
              </w:rPr>
            </w:pPr>
            <w:r w:rsidRPr="00223BB3">
              <w:rPr>
                <w:rFonts w:ascii="Verdana" w:eastAsia="Arial" w:hAnsi="Verdana" w:cs="Arial"/>
                <w:bCs/>
                <w:color w:val="000000"/>
                <w:sz w:val="16"/>
                <w:szCs w:val="16"/>
              </w:rPr>
              <w:t>Cuentas Catálogo afectadas</w:t>
            </w:r>
          </w:p>
        </w:tc>
        <w:tc>
          <w:tcPr>
            <w:tcW w:w="5644" w:type="dxa"/>
            <w:hideMark/>
          </w:tcPr>
          <w:p w14:paraId="1A0D6E99" w14:textId="77777777" w:rsidR="002B3025" w:rsidRPr="00223BB3" w:rsidRDefault="002B3025" w:rsidP="00B929BB">
            <w:pPr>
              <w:rPr>
                <w:rFonts w:ascii="Verdana" w:hAnsi="Verdana" w:cs="Arial"/>
                <w:bCs/>
                <w:color w:val="000000"/>
                <w:sz w:val="16"/>
                <w:szCs w:val="16"/>
              </w:rPr>
            </w:pPr>
            <w:r w:rsidRPr="00223BB3">
              <w:rPr>
                <w:rFonts w:ascii="Verdana" w:hAnsi="Verdana" w:cs="Arial"/>
                <w:bCs/>
                <w:color w:val="000000"/>
                <w:sz w:val="16"/>
                <w:szCs w:val="16"/>
              </w:rPr>
              <w:t>Identifica las cuentas del CUIF afectadas.</w:t>
            </w:r>
          </w:p>
        </w:tc>
      </w:tr>
      <w:tr w:rsidR="002E3760" w:rsidRPr="002B3025" w14:paraId="592BB30F" w14:textId="77777777" w:rsidTr="00C60907">
        <w:trPr>
          <w:trHeight w:val="300"/>
        </w:trPr>
        <w:tc>
          <w:tcPr>
            <w:tcW w:w="3114" w:type="dxa"/>
            <w:noWrap/>
            <w:hideMark/>
          </w:tcPr>
          <w:p w14:paraId="3254645D" w14:textId="77777777" w:rsidR="002B3025" w:rsidRPr="00223BB3" w:rsidRDefault="002B3025" w:rsidP="00B929BB">
            <w:pPr>
              <w:rPr>
                <w:rFonts w:ascii="Verdana" w:hAnsi="Verdana" w:cs="Arial"/>
                <w:bCs/>
                <w:color w:val="000000"/>
                <w:sz w:val="16"/>
                <w:szCs w:val="16"/>
              </w:rPr>
            </w:pPr>
            <w:r w:rsidRPr="00223BB3">
              <w:rPr>
                <w:rFonts w:ascii="Verdana" w:eastAsia="Arial" w:hAnsi="Verdana" w:cs="Arial"/>
                <w:bCs/>
                <w:color w:val="000000"/>
                <w:sz w:val="16"/>
                <w:szCs w:val="16"/>
              </w:rPr>
              <w:t>Proceso</w:t>
            </w:r>
          </w:p>
        </w:tc>
        <w:tc>
          <w:tcPr>
            <w:tcW w:w="5644" w:type="dxa"/>
            <w:hideMark/>
          </w:tcPr>
          <w:p w14:paraId="6A9B0C17" w14:textId="77777777" w:rsidR="002B3025" w:rsidRPr="00223BB3" w:rsidRDefault="002B3025" w:rsidP="00B929BB">
            <w:pPr>
              <w:rPr>
                <w:rFonts w:ascii="Verdana" w:hAnsi="Verdana" w:cs="Arial"/>
                <w:bCs/>
                <w:color w:val="000000"/>
                <w:sz w:val="16"/>
                <w:szCs w:val="16"/>
              </w:rPr>
            </w:pPr>
            <w:r w:rsidRPr="00223BB3">
              <w:rPr>
                <w:rFonts w:ascii="Verdana" w:hAnsi="Verdana" w:cs="Arial"/>
                <w:bCs/>
                <w:color w:val="000000"/>
                <w:sz w:val="16"/>
                <w:szCs w:val="16"/>
              </w:rPr>
              <w:t xml:space="preserve">Identifica el proceso afectado. </w:t>
            </w:r>
          </w:p>
        </w:tc>
      </w:tr>
      <w:tr w:rsidR="002E3760" w:rsidRPr="002B3025" w14:paraId="06DE0222" w14:textId="77777777" w:rsidTr="00C60907">
        <w:trPr>
          <w:trHeight w:val="765"/>
        </w:trPr>
        <w:tc>
          <w:tcPr>
            <w:tcW w:w="3114" w:type="dxa"/>
            <w:noWrap/>
            <w:hideMark/>
          </w:tcPr>
          <w:p w14:paraId="7C812515" w14:textId="77777777" w:rsidR="002B3025" w:rsidRPr="00223BB3" w:rsidRDefault="002B3025" w:rsidP="00B929BB">
            <w:pPr>
              <w:rPr>
                <w:rFonts w:ascii="Verdana" w:hAnsi="Verdana" w:cs="Arial"/>
                <w:bCs/>
                <w:color w:val="000000"/>
                <w:sz w:val="16"/>
                <w:szCs w:val="16"/>
              </w:rPr>
            </w:pPr>
            <w:r w:rsidRPr="00223BB3">
              <w:rPr>
                <w:rFonts w:ascii="Verdana" w:eastAsia="Arial" w:hAnsi="Verdana" w:cs="Arial"/>
                <w:bCs/>
                <w:color w:val="000000"/>
                <w:sz w:val="16"/>
                <w:szCs w:val="16"/>
              </w:rPr>
              <w:t>Tipo de pérdida</w:t>
            </w:r>
          </w:p>
        </w:tc>
        <w:tc>
          <w:tcPr>
            <w:tcW w:w="5644" w:type="dxa"/>
            <w:hideMark/>
          </w:tcPr>
          <w:p w14:paraId="01788048" w14:textId="3364EE50" w:rsidR="002B3025" w:rsidRPr="00223BB3" w:rsidRDefault="002B3025" w:rsidP="00B929BB">
            <w:pPr>
              <w:rPr>
                <w:rFonts w:ascii="Verdana" w:hAnsi="Verdana" w:cs="Arial"/>
                <w:bCs/>
                <w:color w:val="000000"/>
                <w:sz w:val="16"/>
                <w:szCs w:val="16"/>
              </w:rPr>
            </w:pPr>
            <w:r w:rsidRPr="00223BB3">
              <w:rPr>
                <w:rFonts w:ascii="Verdana" w:hAnsi="Verdana" w:cs="Arial"/>
                <w:bCs/>
                <w:color w:val="000000"/>
                <w:sz w:val="16"/>
                <w:szCs w:val="16"/>
              </w:rPr>
              <w:t xml:space="preserve">Identifica el tipo de pérdida, de acuerdo con la clasificación adoptada en </w:t>
            </w:r>
            <w:r w:rsidR="0004229F" w:rsidRPr="00223BB3">
              <w:rPr>
                <w:rFonts w:ascii="Verdana" w:hAnsi="Verdana" w:cs="Arial"/>
                <w:bCs/>
                <w:color w:val="000000"/>
                <w:sz w:val="16"/>
                <w:szCs w:val="16"/>
              </w:rPr>
              <w:t xml:space="preserve">los </w:t>
            </w:r>
            <w:r w:rsidRPr="00223BB3">
              <w:rPr>
                <w:rFonts w:ascii="Verdana" w:hAnsi="Verdana" w:cs="Arial"/>
                <w:bCs/>
                <w:color w:val="000000"/>
                <w:sz w:val="16"/>
                <w:szCs w:val="16"/>
              </w:rPr>
              <w:t xml:space="preserve">literales </w:t>
            </w:r>
            <w:r w:rsidR="0004229F" w:rsidRPr="00223BB3">
              <w:rPr>
                <w:rFonts w:ascii="Verdana" w:hAnsi="Verdana" w:cs="Arial"/>
                <w:bCs/>
                <w:color w:val="000000"/>
                <w:sz w:val="16"/>
                <w:szCs w:val="16"/>
              </w:rPr>
              <w:t>(</w:t>
            </w:r>
            <w:r w:rsidRPr="00223BB3">
              <w:rPr>
                <w:rFonts w:ascii="Verdana" w:hAnsi="Verdana" w:cs="Arial"/>
                <w:bCs/>
                <w:color w:val="000000"/>
                <w:sz w:val="16"/>
                <w:szCs w:val="16"/>
              </w:rPr>
              <w:t xml:space="preserve">a) y </w:t>
            </w:r>
            <w:r w:rsidR="0004229F" w:rsidRPr="00223BB3">
              <w:rPr>
                <w:rFonts w:ascii="Verdana" w:hAnsi="Verdana" w:cs="Arial"/>
                <w:bCs/>
                <w:color w:val="000000"/>
                <w:sz w:val="16"/>
                <w:szCs w:val="16"/>
              </w:rPr>
              <w:t>(</w:t>
            </w:r>
            <w:r w:rsidRPr="00223BB3">
              <w:rPr>
                <w:rFonts w:ascii="Verdana" w:hAnsi="Verdana" w:cs="Arial"/>
                <w:bCs/>
                <w:color w:val="000000"/>
                <w:sz w:val="16"/>
                <w:szCs w:val="16"/>
              </w:rPr>
              <w:t>b) de</w:t>
            </w:r>
            <w:r w:rsidR="0004229F" w:rsidRPr="00223BB3">
              <w:rPr>
                <w:rFonts w:ascii="Verdana" w:hAnsi="Verdana" w:cs="Arial"/>
                <w:bCs/>
                <w:color w:val="000000"/>
                <w:sz w:val="16"/>
                <w:szCs w:val="16"/>
              </w:rPr>
              <w:t>l párrafo 1.1.3.135.</w:t>
            </w:r>
          </w:p>
        </w:tc>
      </w:tr>
      <w:tr w:rsidR="002E3760" w:rsidRPr="002B3025" w14:paraId="7777118E" w14:textId="77777777" w:rsidTr="00C60907">
        <w:trPr>
          <w:trHeight w:val="300"/>
        </w:trPr>
        <w:tc>
          <w:tcPr>
            <w:tcW w:w="3114" w:type="dxa"/>
            <w:vMerge w:val="restart"/>
            <w:noWrap/>
            <w:hideMark/>
          </w:tcPr>
          <w:p w14:paraId="0E0479C5" w14:textId="77777777" w:rsidR="002B3025" w:rsidRPr="00223BB3" w:rsidRDefault="002B3025" w:rsidP="00B929BB">
            <w:pPr>
              <w:rPr>
                <w:rFonts w:ascii="Verdana" w:hAnsi="Verdana" w:cs="Arial"/>
                <w:bCs/>
                <w:color w:val="000000"/>
                <w:sz w:val="16"/>
                <w:szCs w:val="16"/>
              </w:rPr>
            </w:pPr>
            <w:r w:rsidRPr="00223BB3">
              <w:rPr>
                <w:rFonts w:ascii="Verdana" w:eastAsia="Arial" w:hAnsi="Verdana" w:cs="Arial"/>
                <w:bCs/>
                <w:color w:val="000000"/>
                <w:sz w:val="16"/>
                <w:szCs w:val="16"/>
              </w:rPr>
              <w:t>Descripción del evento</w:t>
            </w:r>
          </w:p>
          <w:p w14:paraId="5CC02802" w14:textId="77777777" w:rsidR="002B3025" w:rsidRPr="00223BB3" w:rsidRDefault="002B3025" w:rsidP="00B929BB">
            <w:pPr>
              <w:rPr>
                <w:rFonts w:ascii="Verdana" w:hAnsi="Verdana" w:cs="Arial"/>
                <w:bCs/>
                <w:color w:val="000000"/>
                <w:sz w:val="16"/>
                <w:szCs w:val="16"/>
              </w:rPr>
            </w:pPr>
          </w:p>
          <w:p w14:paraId="52CBC814" w14:textId="77777777" w:rsidR="002B3025" w:rsidRPr="00223BB3" w:rsidRDefault="002B3025" w:rsidP="00B929BB">
            <w:pPr>
              <w:rPr>
                <w:rFonts w:ascii="Verdana" w:hAnsi="Verdana" w:cs="Arial"/>
                <w:bCs/>
                <w:color w:val="000000"/>
                <w:sz w:val="16"/>
                <w:szCs w:val="16"/>
              </w:rPr>
            </w:pPr>
            <w:r w:rsidRPr="00223BB3">
              <w:rPr>
                <w:rFonts w:ascii="Verdana" w:hAnsi="Verdana" w:cs="Arial"/>
                <w:bCs/>
                <w:color w:val="000000"/>
                <w:sz w:val="16"/>
                <w:szCs w:val="16"/>
              </w:rPr>
              <w:t> </w:t>
            </w:r>
          </w:p>
        </w:tc>
        <w:tc>
          <w:tcPr>
            <w:tcW w:w="5644" w:type="dxa"/>
            <w:hideMark/>
          </w:tcPr>
          <w:p w14:paraId="6EC78646" w14:textId="160BF4C8" w:rsidR="002B3025" w:rsidRPr="00223BB3" w:rsidRDefault="002B3025" w:rsidP="12B437D6">
            <w:pPr>
              <w:rPr>
                <w:rFonts w:ascii="Verdana" w:hAnsi="Verdana" w:cs="Arial"/>
                <w:color w:val="000000"/>
                <w:sz w:val="16"/>
                <w:szCs w:val="16"/>
              </w:rPr>
            </w:pPr>
            <w:r w:rsidRPr="00223BB3">
              <w:rPr>
                <w:rFonts w:ascii="Verdana" w:hAnsi="Verdana" w:cs="Arial"/>
                <w:color w:val="000000" w:themeColor="text1"/>
                <w:sz w:val="16"/>
                <w:szCs w:val="16"/>
              </w:rPr>
              <w:t>Descripción detallada del evento, incluyendo una explicación de los hechos ocurridos.</w:t>
            </w:r>
          </w:p>
        </w:tc>
      </w:tr>
      <w:tr w:rsidR="002E3760" w:rsidRPr="002B3025" w14:paraId="46A9E8F6" w14:textId="77777777" w:rsidTr="00C60907">
        <w:trPr>
          <w:trHeight w:val="300"/>
        </w:trPr>
        <w:tc>
          <w:tcPr>
            <w:tcW w:w="3114" w:type="dxa"/>
            <w:vMerge/>
            <w:noWrap/>
            <w:hideMark/>
          </w:tcPr>
          <w:p w14:paraId="2DE9649B" w14:textId="77777777" w:rsidR="002B3025" w:rsidRPr="00223BB3" w:rsidRDefault="002B3025" w:rsidP="00B929BB">
            <w:pPr>
              <w:rPr>
                <w:rFonts w:ascii="Verdana" w:hAnsi="Verdana" w:cs="Arial"/>
                <w:bCs/>
                <w:color w:val="000000"/>
                <w:sz w:val="16"/>
                <w:szCs w:val="16"/>
              </w:rPr>
            </w:pPr>
          </w:p>
        </w:tc>
        <w:tc>
          <w:tcPr>
            <w:tcW w:w="5644" w:type="dxa"/>
            <w:hideMark/>
          </w:tcPr>
          <w:p w14:paraId="6DC55710" w14:textId="77777777" w:rsidR="002B3025" w:rsidRPr="00223BB3" w:rsidRDefault="002B3025" w:rsidP="00B929BB">
            <w:pPr>
              <w:rPr>
                <w:rFonts w:ascii="Verdana" w:hAnsi="Verdana" w:cs="Arial"/>
                <w:bCs/>
                <w:color w:val="000000"/>
                <w:sz w:val="16"/>
                <w:szCs w:val="16"/>
              </w:rPr>
            </w:pPr>
            <w:r w:rsidRPr="00223BB3">
              <w:rPr>
                <w:rFonts w:ascii="Verdana" w:eastAsia="Arial" w:hAnsi="Verdana" w:cs="Arial"/>
                <w:bCs/>
                <w:color w:val="000000"/>
                <w:sz w:val="16"/>
                <w:szCs w:val="16"/>
              </w:rPr>
              <w:t>-       Canal de servicio o atención al cliente (cuando aplica)</w:t>
            </w:r>
          </w:p>
        </w:tc>
      </w:tr>
      <w:tr w:rsidR="002E3760" w:rsidRPr="002B3025" w14:paraId="4872A385" w14:textId="77777777" w:rsidTr="00C60907">
        <w:trPr>
          <w:trHeight w:val="300"/>
        </w:trPr>
        <w:tc>
          <w:tcPr>
            <w:tcW w:w="3114" w:type="dxa"/>
            <w:vMerge/>
            <w:noWrap/>
            <w:hideMark/>
          </w:tcPr>
          <w:p w14:paraId="7F5B11C9" w14:textId="77777777" w:rsidR="002B3025" w:rsidRPr="00223BB3" w:rsidRDefault="002B3025" w:rsidP="00B929BB">
            <w:pPr>
              <w:rPr>
                <w:rFonts w:ascii="Verdana" w:hAnsi="Verdana" w:cs="Arial"/>
                <w:bCs/>
                <w:color w:val="000000"/>
                <w:sz w:val="16"/>
                <w:szCs w:val="16"/>
              </w:rPr>
            </w:pPr>
          </w:p>
        </w:tc>
        <w:tc>
          <w:tcPr>
            <w:tcW w:w="5644" w:type="dxa"/>
            <w:hideMark/>
          </w:tcPr>
          <w:p w14:paraId="63C645DA" w14:textId="77777777" w:rsidR="002B3025" w:rsidRPr="00223BB3" w:rsidRDefault="002B3025" w:rsidP="00B929BB">
            <w:pPr>
              <w:rPr>
                <w:rFonts w:ascii="Verdana" w:hAnsi="Verdana" w:cs="Arial"/>
                <w:bCs/>
                <w:color w:val="000000"/>
                <w:sz w:val="16"/>
                <w:szCs w:val="16"/>
              </w:rPr>
            </w:pPr>
            <w:r w:rsidRPr="00223BB3">
              <w:rPr>
                <w:rFonts w:ascii="Verdana" w:eastAsia="Arial" w:hAnsi="Verdana" w:cs="Arial"/>
                <w:bCs/>
                <w:color w:val="000000"/>
                <w:sz w:val="16"/>
                <w:szCs w:val="16"/>
              </w:rPr>
              <w:t>-       Zona geográfica</w:t>
            </w:r>
          </w:p>
        </w:tc>
      </w:tr>
      <w:tr w:rsidR="002E3760" w:rsidRPr="002B3025" w14:paraId="2CB4965A" w14:textId="77777777" w:rsidTr="00C60907">
        <w:trPr>
          <w:trHeight w:val="510"/>
        </w:trPr>
        <w:tc>
          <w:tcPr>
            <w:tcW w:w="3114" w:type="dxa"/>
            <w:noWrap/>
            <w:hideMark/>
          </w:tcPr>
          <w:p w14:paraId="70F811A9" w14:textId="77777777" w:rsidR="002B3025" w:rsidRPr="00223BB3" w:rsidRDefault="002B3025" w:rsidP="00B929BB">
            <w:pPr>
              <w:rPr>
                <w:rFonts w:ascii="Verdana" w:hAnsi="Verdana" w:cs="Arial"/>
                <w:bCs/>
                <w:color w:val="000000"/>
                <w:sz w:val="16"/>
                <w:szCs w:val="16"/>
              </w:rPr>
            </w:pPr>
            <w:r w:rsidRPr="00223BB3">
              <w:rPr>
                <w:rFonts w:ascii="Verdana" w:eastAsia="Arial" w:hAnsi="Verdana" w:cs="Arial"/>
                <w:bCs/>
                <w:color w:val="000000"/>
                <w:sz w:val="16"/>
                <w:szCs w:val="16"/>
              </w:rPr>
              <w:t>Líneas de negocio</w:t>
            </w:r>
          </w:p>
        </w:tc>
        <w:tc>
          <w:tcPr>
            <w:tcW w:w="5644" w:type="dxa"/>
            <w:hideMark/>
          </w:tcPr>
          <w:p w14:paraId="77CA7342" w14:textId="720BF2B2" w:rsidR="002B3025" w:rsidRPr="00223BB3" w:rsidRDefault="002B3025" w:rsidP="00B929BB">
            <w:pPr>
              <w:rPr>
                <w:rFonts w:ascii="Verdana" w:hAnsi="Verdana" w:cs="Arial"/>
                <w:bCs/>
                <w:color w:val="000000"/>
                <w:sz w:val="16"/>
                <w:szCs w:val="16"/>
              </w:rPr>
            </w:pPr>
            <w:r w:rsidRPr="00223BB3">
              <w:rPr>
                <w:rFonts w:ascii="Verdana" w:hAnsi="Verdana" w:cs="Arial"/>
                <w:bCs/>
                <w:color w:val="000000"/>
                <w:sz w:val="16"/>
                <w:szCs w:val="16"/>
              </w:rPr>
              <w:t xml:space="preserve">Identificación según </w:t>
            </w:r>
            <w:r w:rsidRPr="00223BB3">
              <w:rPr>
                <w:rFonts w:ascii="Verdana" w:hAnsi="Verdana" w:cs="Arial"/>
                <w:bCs/>
                <w:sz w:val="16"/>
                <w:szCs w:val="16"/>
              </w:rPr>
              <w:t xml:space="preserve">clasificación adoptada por la SFC en </w:t>
            </w:r>
            <w:r w:rsidR="00C2787C" w:rsidRPr="00223BB3">
              <w:rPr>
                <w:rFonts w:ascii="Verdana" w:hAnsi="Verdana" w:cs="Arial"/>
                <w:bCs/>
                <w:sz w:val="16"/>
                <w:szCs w:val="16"/>
              </w:rPr>
              <w:t xml:space="preserve">los párrafos </w:t>
            </w:r>
            <w:r w:rsidR="007B2510" w:rsidRPr="00223BB3">
              <w:rPr>
                <w:rFonts w:ascii="Verdana" w:hAnsi="Verdana" w:cs="Arial"/>
                <w:bCs/>
                <w:sz w:val="16"/>
                <w:szCs w:val="16"/>
              </w:rPr>
              <w:t>1.1.3.144. y 1.1.3.145.</w:t>
            </w:r>
          </w:p>
        </w:tc>
      </w:tr>
    </w:tbl>
    <w:p w14:paraId="154C45F6" w14:textId="77777777" w:rsidR="00FE753F" w:rsidRDefault="00FE753F" w:rsidP="00DC2189">
      <w:pPr>
        <w:spacing w:after="0"/>
        <w:rPr>
          <w:rFonts w:ascii="Verdana" w:hAnsi="Verdana"/>
          <w:sz w:val="20"/>
          <w:szCs w:val="20"/>
        </w:rPr>
      </w:pPr>
    </w:p>
    <w:p w14:paraId="4F5FCDCF" w14:textId="77777777" w:rsidR="00FC0121" w:rsidRPr="00FC0121" w:rsidRDefault="002B3025" w:rsidP="00551D66">
      <w:pPr>
        <w:pStyle w:val="Prrafodelista"/>
        <w:numPr>
          <w:ilvl w:val="0"/>
          <w:numId w:val="41"/>
        </w:numPr>
        <w:spacing w:after="0"/>
        <w:ind w:left="567" w:hanging="567"/>
        <w:jc w:val="both"/>
        <w:rPr>
          <w:rFonts w:ascii="Verdana" w:hAnsi="Verdana"/>
          <w:sz w:val="20"/>
          <w:szCs w:val="20"/>
        </w:rPr>
      </w:pPr>
      <w:r w:rsidRPr="00FC0121">
        <w:rPr>
          <w:rFonts w:ascii="Verdana" w:hAnsi="Verdana" w:cs="Arial"/>
          <w:bCs/>
          <w:sz w:val="20"/>
          <w:szCs w:val="20"/>
        </w:rPr>
        <w:t>Para la construcción del registro de eventos de riesgo operacional, las entidades pueden utilizar campos adicionales a los descritos anteriormente.</w:t>
      </w:r>
    </w:p>
    <w:p w14:paraId="7CE2C6B7" w14:textId="77777777" w:rsidR="00FC0121" w:rsidRPr="00FC0121" w:rsidRDefault="00FC0121" w:rsidP="00FC0121">
      <w:pPr>
        <w:pStyle w:val="Prrafodelista"/>
        <w:spacing w:after="0"/>
        <w:ind w:left="567"/>
        <w:jc w:val="both"/>
        <w:rPr>
          <w:rFonts w:ascii="Verdana" w:hAnsi="Verdana"/>
          <w:sz w:val="20"/>
          <w:szCs w:val="20"/>
        </w:rPr>
      </w:pPr>
    </w:p>
    <w:p w14:paraId="745C455F" w14:textId="3F2CD623" w:rsidR="00FC0121" w:rsidRPr="00FC0121" w:rsidRDefault="002B3025" w:rsidP="00551D66">
      <w:pPr>
        <w:pStyle w:val="Prrafodelista"/>
        <w:numPr>
          <w:ilvl w:val="0"/>
          <w:numId w:val="41"/>
        </w:numPr>
        <w:spacing w:after="0"/>
        <w:ind w:left="567" w:hanging="567"/>
        <w:jc w:val="both"/>
        <w:rPr>
          <w:rFonts w:ascii="Verdana" w:hAnsi="Verdana"/>
          <w:sz w:val="20"/>
          <w:szCs w:val="20"/>
        </w:rPr>
      </w:pPr>
      <w:r w:rsidRPr="00FC0121">
        <w:rPr>
          <w:rFonts w:ascii="Verdana" w:hAnsi="Verdana" w:cs="Arial"/>
          <w:bCs/>
          <w:sz w:val="20"/>
          <w:szCs w:val="20"/>
        </w:rPr>
        <w:t>Todas las actividades de las entidades vigiladas deben asignarse en</w:t>
      </w:r>
      <w:r w:rsidR="008325EA">
        <w:rPr>
          <w:rFonts w:ascii="Verdana" w:hAnsi="Verdana" w:cs="Arial"/>
          <w:bCs/>
          <w:sz w:val="20"/>
          <w:szCs w:val="20"/>
        </w:rPr>
        <w:t xml:space="preserve"> </w:t>
      </w:r>
      <w:r w:rsidRPr="00FC0121">
        <w:rPr>
          <w:rFonts w:ascii="Verdana" w:hAnsi="Verdana" w:cs="Arial"/>
          <w:bCs/>
          <w:sz w:val="20"/>
          <w:szCs w:val="20"/>
        </w:rPr>
        <w:t xml:space="preserve">las líneas de negocio </w:t>
      </w:r>
      <w:r w:rsidRPr="003A6953">
        <w:rPr>
          <w:rFonts w:ascii="Verdana" w:hAnsi="Verdana" w:cs="Arial"/>
          <w:bCs/>
          <w:sz w:val="20"/>
          <w:szCs w:val="20"/>
        </w:rPr>
        <w:t xml:space="preserve">señaladas </w:t>
      </w:r>
      <w:r w:rsidR="003A6953" w:rsidRPr="003A6953">
        <w:rPr>
          <w:rFonts w:ascii="Verdana" w:hAnsi="Verdana" w:cs="Arial"/>
          <w:bCs/>
          <w:sz w:val="20"/>
          <w:szCs w:val="20"/>
        </w:rPr>
        <w:t>en</w:t>
      </w:r>
      <w:r w:rsidR="00850F15">
        <w:rPr>
          <w:rFonts w:ascii="Verdana" w:hAnsi="Verdana" w:cs="Arial"/>
          <w:bCs/>
          <w:sz w:val="20"/>
          <w:szCs w:val="20"/>
        </w:rPr>
        <w:t>tre</w:t>
      </w:r>
      <w:r w:rsidR="003A6953" w:rsidRPr="007B2510">
        <w:rPr>
          <w:rFonts w:ascii="Verdana" w:hAnsi="Verdana" w:cs="Arial"/>
          <w:bCs/>
          <w:sz w:val="20"/>
          <w:szCs w:val="20"/>
        </w:rPr>
        <w:t xml:space="preserve"> los párrafos</w:t>
      </w:r>
      <w:r w:rsidR="003A6953">
        <w:rPr>
          <w:rFonts w:ascii="Verdana" w:hAnsi="Verdana" w:cs="Arial"/>
          <w:bCs/>
          <w:sz w:val="20"/>
          <w:szCs w:val="20"/>
        </w:rPr>
        <w:t xml:space="preserve"> 1.1.3.144. y 1.1.3.145.</w:t>
      </w:r>
      <w:r w:rsidRPr="00FC0121">
        <w:rPr>
          <w:rFonts w:ascii="Verdana" w:hAnsi="Verdana" w:cs="Arial"/>
          <w:bCs/>
          <w:sz w:val="20"/>
          <w:szCs w:val="20"/>
        </w:rPr>
        <w:t>, de forma que a cada una de las actividades le corresponda una sola línea de negocio y no permanezca ninguna actividad sin asignar. Para el efecto la entidad debe contar con información y procedimientos sistemáticos de asignación de los ingresos financieros netos, lo que conlleva la asignación tanto de los ingresos como de los gastos financieros.</w:t>
      </w:r>
    </w:p>
    <w:p w14:paraId="12DE501D" w14:textId="77777777" w:rsidR="00FC0121" w:rsidRPr="00FC0121" w:rsidRDefault="00FC0121" w:rsidP="00FC0121">
      <w:pPr>
        <w:pStyle w:val="Prrafodelista"/>
        <w:jc w:val="both"/>
        <w:rPr>
          <w:rFonts w:ascii="Verdana" w:hAnsi="Verdana" w:cs="Arial"/>
          <w:bCs/>
          <w:sz w:val="20"/>
          <w:szCs w:val="20"/>
        </w:rPr>
      </w:pPr>
    </w:p>
    <w:p w14:paraId="0F34155E" w14:textId="5559E2BD" w:rsidR="002B3025" w:rsidRPr="00FC0121" w:rsidRDefault="002B3025" w:rsidP="00551D66">
      <w:pPr>
        <w:pStyle w:val="Prrafodelista"/>
        <w:numPr>
          <w:ilvl w:val="0"/>
          <w:numId w:val="41"/>
        </w:numPr>
        <w:spacing w:after="0"/>
        <w:ind w:left="567" w:hanging="567"/>
        <w:jc w:val="both"/>
        <w:rPr>
          <w:rFonts w:ascii="Verdana" w:hAnsi="Verdana"/>
          <w:sz w:val="20"/>
          <w:szCs w:val="20"/>
        </w:rPr>
      </w:pPr>
      <w:r w:rsidRPr="00FC0121">
        <w:rPr>
          <w:rFonts w:ascii="Verdana" w:hAnsi="Verdana" w:cs="Arial"/>
          <w:bCs/>
          <w:sz w:val="20"/>
          <w:szCs w:val="20"/>
        </w:rPr>
        <w:t>Las entidades deben documentar y mantener a disposición de la SFC, los criterios que tendrán en cuenta para clasificar las diferentes actividades en cada una de las líneas de negocio, sin perjuicio de atender los siguientes principios:</w:t>
      </w:r>
    </w:p>
    <w:p w14:paraId="07977691" w14:textId="77777777" w:rsidR="00FC0121" w:rsidRDefault="00FC0121" w:rsidP="00FC0121">
      <w:pPr>
        <w:tabs>
          <w:tab w:val="left" w:pos="567"/>
        </w:tabs>
        <w:spacing w:after="0" w:line="240" w:lineRule="auto"/>
        <w:jc w:val="both"/>
        <w:rPr>
          <w:rFonts w:ascii="Verdana" w:hAnsi="Verdana" w:cs="Arial"/>
          <w:sz w:val="20"/>
          <w:szCs w:val="20"/>
        </w:rPr>
      </w:pPr>
    </w:p>
    <w:p w14:paraId="1BA8F297" w14:textId="77777777" w:rsidR="00FC0121" w:rsidRDefault="002B3025" w:rsidP="00551D66">
      <w:pPr>
        <w:pStyle w:val="Prrafodelista"/>
        <w:numPr>
          <w:ilvl w:val="0"/>
          <w:numId w:val="42"/>
        </w:numPr>
        <w:tabs>
          <w:tab w:val="left" w:pos="567"/>
        </w:tabs>
        <w:spacing w:after="0" w:line="240" w:lineRule="auto"/>
        <w:ind w:left="1134" w:hanging="567"/>
        <w:jc w:val="both"/>
        <w:rPr>
          <w:rFonts w:ascii="Verdana" w:hAnsi="Verdana" w:cs="Arial"/>
          <w:sz w:val="20"/>
          <w:szCs w:val="20"/>
        </w:rPr>
      </w:pPr>
      <w:r w:rsidRPr="00FC0121">
        <w:rPr>
          <w:rFonts w:ascii="Verdana" w:hAnsi="Verdana" w:cs="Arial"/>
          <w:sz w:val="20"/>
          <w:szCs w:val="20"/>
        </w:rPr>
        <w:lastRenderedPageBreak/>
        <w:t>Cualquier evento de riesgo operacional que se produzca en desarrollo de una actividad conexa a una principal debe ser clasificado en la línea de negocio que corresponda a la actividad principal.</w:t>
      </w:r>
    </w:p>
    <w:p w14:paraId="381E38E0" w14:textId="77777777" w:rsidR="00FC0121" w:rsidRDefault="00FC0121" w:rsidP="00FC0121">
      <w:pPr>
        <w:pStyle w:val="Prrafodelista"/>
        <w:tabs>
          <w:tab w:val="left" w:pos="567"/>
        </w:tabs>
        <w:spacing w:after="0" w:line="240" w:lineRule="auto"/>
        <w:ind w:left="1134"/>
        <w:jc w:val="both"/>
        <w:rPr>
          <w:rFonts w:ascii="Verdana" w:hAnsi="Verdana" w:cs="Arial"/>
          <w:sz w:val="20"/>
          <w:szCs w:val="20"/>
        </w:rPr>
      </w:pPr>
    </w:p>
    <w:p w14:paraId="436E17CB" w14:textId="77777777" w:rsidR="00FC0121" w:rsidRPr="00FC0121" w:rsidRDefault="002B3025" w:rsidP="00551D66">
      <w:pPr>
        <w:pStyle w:val="Prrafodelista"/>
        <w:numPr>
          <w:ilvl w:val="0"/>
          <w:numId w:val="42"/>
        </w:numPr>
        <w:tabs>
          <w:tab w:val="left" w:pos="567"/>
        </w:tabs>
        <w:spacing w:after="0" w:line="240" w:lineRule="auto"/>
        <w:ind w:left="1134" w:hanging="567"/>
        <w:jc w:val="both"/>
        <w:rPr>
          <w:rFonts w:ascii="Verdana" w:hAnsi="Verdana" w:cs="Arial"/>
          <w:sz w:val="20"/>
          <w:szCs w:val="20"/>
        </w:rPr>
      </w:pPr>
      <w:r w:rsidRPr="00FC0121">
        <w:rPr>
          <w:rFonts w:ascii="Verdana" w:hAnsi="Verdana" w:cs="Arial"/>
          <w:bCs/>
          <w:sz w:val="20"/>
          <w:szCs w:val="20"/>
        </w:rPr>
        <w:t xml:space="preserve">Cuando un evento de pérdida afecte más de una línea de negocio y una de las líneas genere el 50% o más de las </w:t>
      </w:r>
      <w:r w:rsidRPr="00351B2A">
        <w:rPr>
          <w:rFonts w:ascii="Verdana" w:hAnsi="Verdana" w:cs="Arial"/>
          <w:bCs/>
          <w:sz w:val="20"/>
          <w:szCs w:val="20"/>
        </w:rPr>
        <w:t>pérdidas totales</w:t>
      </w:r>
      <w:r w:rsidRPr="00FC0121">
        <w:rPr>
          <w:rFonts w:ascii="Verdana" w:hAnsi="Verdana" w:cs="Arial"/>
          <w:bCs/>
          <w:sz w:val="20"/>
          <w:szCs w:val="20"/>
        </w:rPr>
        <w:t>, se debe asignar el valor total de esas pérdidas a dicha línea operativa.</w:t>
      </w:r>
    </w:p>
    <w:p w14:paraId="719391E5" w14:textId="77777777" w:rsidR="00FC0121" w:rsidRPr="00FC0121" w:rsidRDefault="00FC0121" w:rsidP="00FC0121">
      <w:pPr>
        <w:pStyle w:val="Prrafodelista"/>
        <w:rPr>
          <w:rFonts w:ascii="Verdana" w:hAnsi="Verdana" w:cs="Arial"/>
          <w:bCs/>
          <w:sz w:val="20"/>
          <w:szCs w:val="20"/>
        </w:rPr>
      </w:pPr>
    </w:p>
    <w:p w14:paraId="28FC4DD5" w14:textId="77777777" w:rsidR="00FC0121" w:rsidRPr="00FC0121" w:rsidRDefault="002B3025" w:rsidP="00551D66">
      <w:pPr>
        <w:pStyle w:val="Prrafodelista"/>
        <w:numPr>
          <w:ilvl w:val="0"/>
          <w:numId w:val="42"/>
        </w:numPr>
        <w:tabs>
          <w:tab w:val="left" w:pos="567"/>
        </w:tabs>
        <w:spacing w:after="0" w:line="240" w:lineRule="auto"/>
        <w:ind w:left="1134" w:hanging="567"/>
        <w:jc w:val="both"/>
        <w:rPr>
          <w:rFonts w:ascii="Verdana" w:hAnsi="Verdana" w:cs="Arial"/>
          <w:sz w:val="20"/>
          <w:szCs w:val="20"/>
        </w:rPr>
      </w:pPr>
      <w:r w:rsidRPr="00FC0121">
        <w:rPr>
          <w:rFonts w:ascii="Verdana" w:hAnsi="Verdana" w:cs="Arial"/>
          <w:bCs/>
          <w:sz w:val="20"/>
          <w:szCs w:val="20"/>
        </w:rPr>
        <w:t xml:space="preserve">Cuando un evento de pérdida afecte más de una línea de negocio y ninguna de las líneas involucradas genere el 50% o más de las </w:t>
      </w:r>
      <w:r w:rsidRPr="00351B2A">
        <w:rPr>
          <w:rFonts w:ascii="Verdana" w:hAnsi="Verdana" w:cs="Arial"/>
          <w:bCs/>
          <w:sz w:val="20"/>
          <w:szCs w:val="20"/>
        </w:rPr>
        <w:t>pérdidas totales</w:t>
      </w:r>
      <w:r w:rsidRPr="00FC0121">
        <w:rPr>
          <w:rFonts w:ascii="Verdana" w:hAnsi="Verdana" w:cs="Arial"/>
          <w:bCs/>
          <w:sz w:val="20"/>
          <w:szCs w:val="20"/>
        </w:rPr>
        <w:t>, se debe asignar el valor correspondiente a cada línea de negocio afectada.</w:t>
      </w:r>
    </w:p>
    <w:p w14:paraId="7242A9C2" w14:textId="77777777" w:rsidR="00FC0121" w:rsidRPr="00FC0121" w:rsidRDefault="00FC0121" w:rsidP="00FC0121">
      <w:pPr>
        <w:pStyle w:val="Prrafodelista"/>
        <w:rPr>
          <w:rFonts w:ascii="Verdana" w:hAnsi="Verdana" w:cs="Arial"/>
          <w:bCs/>
          <w:sz w:val="20"/>
          <w:szCs w:val="20"/>
        </w:rPr>
      </w:pPr>
    </w:p>
    <w:p w14:paraId="54AE4C9A" w14:textId="00B271BC" w:rsidR="002B3025" w:rsidRPr="00FC0121" w:rsidRDefault="002B3025" w:rsidP="00551D66">
      <w:pPr>
        <w:pStyle w:val="Prrafodelista"/>
        <w:numPr>
          <w:ilvl w:val="0"/>
          <w:numId w:val="42"/>
        </w:numPr>
        <w:tabs>
          <w:tab w:val="left" w:pos="567"/>
        </w:tabs>
        <w:spacing w:after="0" w:line="240" w:lineRule="auto"/>
        <w:ind w:left="1134" w:hanging="567"/>
        <w:jc w:val="both"/>
        <w:rPr>
          <w:rFonts w:ascii="Verdana" w:hAnsi="Verdana" w:cs="Arial"/>
          <w:sz w:val="20"/>
          <w:szCs w:val="20"/>
        </w:rPr>
      </w:pPr>
      <w:r w:rsidRPr="00FC0121">
        <w:rPr>
          <w:rFonts w:ascii="Verdana" w:hAnsi="Verdana" w:cs="Arial"/>
          <w:bCs/>
          <w:sz w:val="20"/>
          <w:szCs w:val="20"/>
        </w:rPr>
        <w:t>Cuando se presente un evento de riesgo operacional para una línea de negocio, se debe registrar según su clasificación en el primer, segundo y tercer nivel de desagregación que se detalla</w:t>
      </w:r>
      <w:r w:rsidR="000B4FD6">
        <w:rPr>
          <w:rFonts w:ascii="Verdana" w:hAnsi="Verdana" w:cs="Arial"/>
          <w:bCs/>
          <w:sz w:val="20"/>
          <w:szCs w:val="20"/>
        </w:rPr>
        <w:t xml:space="preserve"> entre los párrafos </w:t>
      </w:r>
      <w:r w:rsidR="00F268E2">
        <w:rPr>
          <w:rFonts w:ascii="Verdana" w:hAnsi="Verdana" w:cs="Arial"/>
          <w:bCs/>
          <w:sz w:val="20"/>
          <w:szCs w:val="20"/>
        </w:rPr>
        <w:t>1.1.3.146. y 1.1.3.147.</w:t>
      </w:r>
    </w:p>
    <w:p w14:paraId="26138FC6" w14:textId="77777777" w:rsidR="00FE753F" w:rsidRDefault="00FE753F" w:rsidP="00A17410">
      <w:pPr>
        <w:spacing w:after="0"/>
        <w:rPr>
          <w:rFonts w:ascii="Verdana" w:hAnsi="Verdana"/>
          <w:sz w:val="20"/>
          <w:szCs w:val="20"/>
        </w:rPr>
      </w:pPr>
    </w:p>
    <w:p w14:paraId="48317ECA" w14:textId="122E6031" w:rsidR="00A17410" w:rsidRPr="00FD550B" w:rsidRDefault="002B3025" w:rsidP="00551D66">
      <w:pPr>
        <w:pStyle w:val="Prrafodelista"/>
        <w:numPr>
          <w:ilvl w:val="0"/>
          <w:numId w:val="41"/>
        </w:numPr>
        <w:tabs>
          <w:tab w:val="num" w:pos="567"/>
        </w:tabs>
        <w:spacing w:after="0" w:line="240" w:lineRule="auto"/>
        <w:ind w:left="567" w:hanging="567"/>
        <w:jc w:val="both"/>
        <w:rPr>
          <w:rFonts w:ascii="Verdana" w:hAnsi="Verdana" w:cs="Arial"/>
          <w:bCs/>
          <w:sz w:val="20"/>
          <w:szCs w:val="20"/>
        </w:rPr>
      </w:pPr>
      <w:r w:rsidRPr="00FD550B">
        <w:rPr>
          <w:rFonts w:ascii="Verdana" w:hAnsi="Verdana" w:cs="Arial"/>
          <w:bCs/>
          <w:sz w:val="20"/>
          <w:szCs w:val="20"/>
        </w:rPr>
        <w:t xml:space="preserve">Las entidades deben contar con un proceso de control operacional concebido para revisar de forma independiente la integridad y precisión de los eventos de riesgo operacional. </w:t>
      </w:r>
    </w:p>
    <w:p w14:paraId="6AC09022" w14:textId="77777777" w:rsidR="00FE753F" w:rsidRDefault="00FE753F" w:rsidP="00FE753F">
      <w:pPr>
        <w:tabs>
          <w:tab w:val="num" w:pos="426"/>
        </w:tabs>
        <w:spacing w:after="0" w:line="240" w:lineRule="auto"/>
        <w:jc w:val="both"/>
        <w:rPr>
          <w:rFonts w:ascii="Verdana" w:hAnsi="Verdana" w:cs="Arial"/>
          <w:bCs/>
          <w:sz w:val="20"/>
          <w:szCs w:val="20"/>
        </w:rPr>
      </w:pPr>
    </w:p>
    <w:p w14:paraId="66E0F086" w14:textId="7F8C65FC" w:rsidR="002B3025" w:rsidRPr="00FE753F" w:rsidRDefault="002B3025" w:rsidP="00551D66">
      <w:pPr>
        <w:pStyle w:val="Prrafodelista"/>
        <w:numPr>
          <w:ilvl w:val="0"/>
          <w:numId w:val="40"/>
        </w:numPr>
        <w:tabs>
          <w:tab w:val="left" w:pos="540"/>
        </w:tabs>
        <w:ind w:left="567" w:hanging="283"/>
        <w:jc w:val="both"/>
        <w:rPr>
          <w:rFonts w:ascii="Verdana" w:hAnsi="Verdana" w:cs="Arial"/>
          <w:b/>
          <w:sz w:val="20"/>
          <w:szCs w:val="20"/>
        </w:rPr>
      </w:pPr>
      <w:r w:rsidRPr="00FE753F">
        <w:rPr>
          <w:rFonts w:ascii="Verdana" w:hAnsi="Verdana" w:cs="Arial"/>
          <w:b/>
          <w:sz w:val="20"/>
          <w:szCs w:val="20"/>
        </w:rPr>
        <w:t>Criterios específicos para el registro de eventos de riesgo operacional</w:t>
      </w:r>
    </w:p>
    <w:p w14:paraId="2DD9EA2B" w14:textId="061B6499" w:rsidR="00A17410" w:rsidRPr="001C6CAB" w:rsidRDefault="00A17410" w:rsidP="00A17410">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B73C9A">
        <w:rPr>
          <w:rFonts w:ascii="Verdana" w:hAnsi="Verdana"/>
          <w:sz w:val="20"/>
          <w:szCs w:val="20"/>
        </w:rPr>
        <w:t>3</w:t>
      </w:r>
      <w:r w:rsidR="00B42F68">
        <w:rPr>
          <w:rFonts w:ascii="Verdana" w:hAnsi="Verdana"/>
          <w:sz w:val="20"/>
          <w:szCs w:val="20"/>
        </w:rPr>
        <w:t>9</w:t>
      </w:r>
      <w:r w:rsidRPr="001C6CAB">
        <w:rPr>
          <w:rFonts w:ascii="Verdana" w:hAnsi="Verdana"/>
          <w:sz w:val="20"/>
          <w:szCs w:val="20"/>
        </w:rPr>
        <w:t>.</w:t>
      </w:r>
    </w:p>
    <w:p w14:paraId="4553B6A8" w14:textId="0A74FF80" w:rsidR="002B3025" w:rsidRPr="002B3025" w:rsidRDefault="002B3025" w:rsidP="00B929BB">
      <w:pPr>
        <w:tabs>
          <w:tab w:val="left" w:pos="540"/>
        </w:tabs>
        <w:jc w:val="both"/>
        <w:rPr>
          <w:rFonts w:ascii="Verdana" w:hAnsi="Verdana" w:cs="Arial"/>
          <w:bCs/>
          <w:sz w:val="20"/>
          <w:szCs w:val="20"/>
        </w:rPr>
      </w:pPr>
      <w:r w:rsidRPr="002B3025">
        <w:rPr>
          <w:rFonts w:ascii="Verdana" w:hAnsi="Verdana" w:cs="Arial"/>
          <w:bCs/>
          <w:sz w:val="20"/>
          <w:szCs w:val="20"/>
        </w:rPr>
        <w:t>Para efectos del registro de eventos de riesgo operacion</w:t>
      </w:r>
      <w:r w:rsidR="00564159">
        <w:rPr>
          <w:rFonts w:ascii="Verdana" w:hAnsi="Verdana" w:cs="Arial"/>
          <w:bCs/>
          <w:sz w:val="20"/>
          <w:szCs w:val="20"/>
        </w:rPr>
        <w:t>al</w:t>
      </w:r>
      <w:r w:rsidRPr="002B3025">
        <w:rPr>
          <w:rFonts w:ascii="Verdana" w:hAnsi="Verdana" w:cs="Arial"/>
          <w:bCs/>
          <w:sz w:val="20"/>
          <w:szCs w:val="20"/>
        </w:rPr>
        <w:t xml:space="preserve">, las recuperaciones sólo podrán utilizarse para reducir las pérdidas </w:t>
      </w:r>
      <w:r w:rsidR="00DA7F03">
        <w:rPr>
          <w:rFonts w:ascii="Verdana" w:hAnsi="Verdana" w:cs="Arial"/>
          <w:bCs/>
          <w:sz w:val="20"/>
          <w:szCs w:val="20"/>
        </w:rPr>
        <w:t xml:space="preserve">por riesgo operacional </w:t>
      </w:r>
      <w:r w:rsidRPr="002B3025">
        <w:rPr>
          <w:rFonts w:ascii="Verdana" w:hAnsi="Verdana" w:cs="Arial"/>
          <w:bCs/>
          <w:sz w:val="20"/>
          <w:szCs w:val="20"/>
        </w:rPr>
        <w:t>cuando se haya recibido el pago efectivo, para lo cual las entidades deben contar con los debidos comprobantes. Los derechos de cobro no califican como recuperaciones.</w:t>
      </w:r>
    </w:p>
    <w:p w14:paraId="6440FCC4" w14:textId="1F8F3CDC" w:rsidR="00A17410" w:rsidRPr="001C6CAB" w:rsidRDefault="00A17410" w:rsidP="00A17410">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B42F68">
        <w:rPr>
          <w:rFonts w:ascii="Verdana" w:hAnsi="Verdana"/>
          <w:sz w:val="20"/>
          <w:szCs w:val="20"/>
        </w:rPr>
        <w:t>40</w:t>
      </w:r>
      <w:r w:rsidRPr="001C6CAB">
        <w:rPr>
          <w:rFonts w:ascii="Verdana" w:hAnsi="Verdana"/>
          <w:sz w:val="20"/>
          <w:szCs w:val="20"/>
        </w:rPr>
        <w:t>.</w:t>
      </w:r>
    </w:p>
    <w:p w14:paraId="14ED591F" w14:textId="709E359F" w:rsidR="00EE2321" w:rsidRPr="002B3025" w:rsidRDefault="002B3025" w:rsidP="12B437D6">
      <w:pPr>
        <w:tabs>
          <w:tab w:val="left" w:pos="540"/>
        </w:tabs>
        <w:jc w:val="both"/>
        <w:rPr>
          <w:rFonts w:ascii="Verdana" w:hAnsi="Verdana" w:cs="Arial"/>
          <w:sz w:val="20"/>
          <w:szCs w:val="20"/>
        </w:rPr>
      </w:pPr>
      <w:r w:rsidRPr="12B437D6">
        <w:rPr>
          <w:rFonts w:ascii="Verdana" w:hAnsi="Verdana" w:cs="Arial"/>
          <w:sz w:val="20"/>
          <w:szCs w:val="20"/>
        </w:rPr>
        <w:t>Las entidades deben utilizar la fecha de contabilización del evento para construir el conjunto de registros sobre pérdidas Tipo A. En el caso de contingencias legales, la fecha de contabilización será aquella en la que se constituye una provisión para dicha contingencia en el estado de situación financiera, con su reflejo correspondiente en el estado de resultados.</w:t>
      </w:r>
    </w:p>
    <w:p w14:paraId="027B8EEB" w14:textId="0DA08CAD" w:rsidR="00A17410" w:rsidRPr="001C6CAB" w:rsidRDefault="00A17410" w:rsidP="00A17410">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B73C9A">
        <w:rPr>
          <w:rFonts w:ascii="Verdana" w:hAnsi="Verdana"/>
          <w:sz w:val="20"/>
          <w:szCs w:val="20"/>
        </w:rPr>
        <w:t>4</w:t>
      </w:r>
      <w:r w:rsidR="00B42F68">
        <w:rPr>
          <w:rFonts w:ascii="Verdana" w:hAnsi="Verdana"/>
          <w:sz w:val="20"/>
          <w:szCs w:val="20"/>
        </w:rPr>
        <w:t>1</w:t>
      </w:r>
      <w:r w:rsidRPr="001C6CAB">
        <w:rPr>
          <w:rFonts w:ascii="Verdana" w:hAnsi="Verdana"/>
          <w:sz w:val="20"/>
          <w:szCs w:val="20"/>
        </w:rPr>
        <w:t>.</w:t>
      </w:r>
    </w:p>
    <w:p w14:paraId="0E9389E5" w14:textId="74AF6F71" w:rsidR="002B3025" w:rsidRPr="002B3025" w:rsidRDefault="002B3025" w:rsidP="12B437D6">
      <w:pPr>
        <w:tabs>
          <w:tab w:val="left" w:pos="540"/>
        </w:tabs>
        <w:jc w:val="both"/>
        <w:rPr>
          <w:rFonts w:ascii="Verdana" w:hAnsi="Verdana" w:cs="Arial"/>
          <w:sz w:val="20"/>
          <w:szCs w:val="20"/>
        </w:rPr>
      </w:pPr>
      <w:r w:rsidRPr="12B437D6">
        <w:rPr>
          <w:rFonts w:ascii="Verdana" w:hAnsi="Verdana" w:cs="Arial"/>
          <w:sz w:val="20"/>
          <w:szCs w:val="20"/>
        </w:rPr>
        <w:t>Las pérdidas causadas por un evento de riesgo operacional común o por varios eventos de riesgo operacional relacionados a lo largo del tiempo, pero contabilizadas en el transcurso de varios años, deben asignarse a los años correspondientes en la base de datos sobre pérdidas, en consonancia con su tratamiento contable.</w:t>
      </w:r>
    </w:p>
    <w:p w14:paraId="0B1EF32D" w14:textId="2E53D824" w:rsidR="002B3025" w:rsidRPr="00E77ED1" w:rsidRDefault="002B3025" w:rsidP="00551D66">
      <w:pPr>
        <w:pStyle w:val="Prrafodelista"/>
        <w:numPr>
          <w:ilvl w:val="1"/>
          <w:numId w:val="40"/>
        </w:numPr>
        <w:spacing w:after="0"/>
        <w:ind w:left="851" w:hanging="284"/>
        <w:jc w:val="both"/>
        <w:rPr>
          <w:rFonts w:ascii="Verdana" w:hAnsi="Verdana" w:cs="Arial"/>
          <w:b/>
          <w:sz w:val="20"/>
          <w:szCs w:val="20"/>
        </w:rPr>
      </w:pPr>
      <w:r w:rsidRPr="00E77ED1">
        <w:rPr>
          <w:rFonts w:ascii="Verdana" w:hAnsi="Verdana" w:cs="Arial"/>
          <w:b/>
          <w:sz w:val="20"/>
          <w:szCs w:val="20"/>
        </w:rPr>
        <w:t>Conceptos que se deben incluir en el cálculo de las pérdidas brutas registradas en la base de datos</w:t>
      </w:r>
    </w:p>
    <w:p w14:paraId="552CECAB" w14:textId="77777777" w:rsidR="00543AC5" w:rsidRDefault="00543AC5" w:rsidP="00543AC5">
      <w:pPr>
        <w:spacing w:after="0"/>
        <w:jc w:val="both"/>
        <w:rPr>
          <w:rFonts w:ascii="Verdana" w:hAnsi="Verdana" w:cs="Arial"/>
          <w:b/>
          <w:sz w:val="20"/>
          <w:szCs w:val="20"/>
        </w:rPr>
      </w:pPr>
    </w:p>
    <w:p w14:paraId="43F7D567" w14:textId="64FD2EC9" w:rsidR="00543AC5" w:rsidRPr="001C6CAB" w:rsidRDefault="00543AC5" w:rsidP="00543AC5">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B73C9A">
        <w:rPr>
          <w:rFonts w:ascii="Verdana" w:hAnsi="Verdana"/>
          <w:sz w:val="20"/>
          <w:szCs w:val="20"/>
        </w:rPr>
        <w:t>4</w:t>
      </w:r>
      <w:r w:rsidR="00B42F68">
        <w:rPr>
          <w:rFonts w:ascii="Verdana" w:hAnsi="Verdana"/>
          <w:sz w:val="20"/>
          <w:szCs w:val="20"/>
        </w:rPr>
        <w:t>2</w:t>
      </w:r>
      <w:r w:rsidRPr="001C6CAB">
        <w:rPr>
          <w:rFonts w:ascii="Verdana" w:hAnsi="Verdana"/>
          <w:sz w:val="20"/>
          <w:szCs w:val="20"/>
        </w:rPr>
        <w:t>.</w:t>
      </w:r>
    </w:p>
    <w:p w14:paraId="0E28880B" w14:textId="193EF426" w:rsidR="00543AC5" w:rsidRDefault="00543AC5" w:rsidP="00543AC5">
      <w:pPr>
        <w:spacing w:after="0"/>
        <w:jc w:val="both"/>
        <w:rPr>
          <w:rFonts w:ascii="Verdana" w:hAnsi="Verdana" w:cs="Arial"/>
          <w:b/>
          <w:sz w:val="20"/>
          <w:szCs w:val="20"/>
        </w:rPr>
      </w:pPr>
      <w:r w:rsidRPr="12B437D6">
        <w:rPr>
          <w:rFonts w:ascii="Verdana" w:hAnsi="Verdana" w:cs="Arial"/>
          <w:sz w:val="20"/>
          <w:szCs w:val="20"/>
        </w:rPr>
        <w:t>L</w:t>
      </w:r>
      <w:r>
        <w:rPr>
          <w:rFonts w:ascii="Verdana" w:hAnsi="Verdana" w:cs="Arial"/>
          <w:sz w:val="20"/>
          <w:szCs w:val="20"/>
        </w:rPr>
        <w:t>os c</w:t>
      </w:r>
      <w:r w:rsidRPr="00543AC5">
        <w:rPr>
          <w:rFonts w:ascii="Verdana" w:hAnsi="Verdana" w:cs="Arial"/>
          <w:sz w:val="20"/>
          <w:szCs w:val="20"/>
        </w:rPr>
        <w:t>onceptos que se deben incluir en el cálculo de las pérdidas brutas registradas en la base de datos</w:t>
      </w:r>
      <w:r w:rsidR="00E77ED1">
        <w:rPr>
          <w:rFonts w:ascii="Verdana" w:hAnsi="Verdana" w:cs="Arial"/>
          <w:sz w:val="20"/>
          <w:szCs w:val="20"/>
        </w:rPr>
        <w:t xml:space="preserve"> son</w:t>
      </w:r>
      <w:r w:rsidRPr="00543AC5">
        <w:rPr>
          <w:rFonts w:ascii="Verdana" w:hAnsi="Verdana" w:cs="Arial"/>
          <w:sz w:val="20"/>
          <w:szCs w:val="20"/>
        </w:rPr>
        <w:t>:</w:t>
      </w:r>
    </w:p>
    <w:p w14:paraId="0877B13D" w14:textId="77777777" w:rsidR="00E77ED1" w:rsidRPr="00E77ED1" w:rsidRDefault="00E77ED1" w:rsidP="00543AC5">
      <w:pPr>
        <w:spacing w:after="0"/>
        <w:jc w:val="both"/>
        <w:rPr>
          <w:rFonts w:ascii="Verdana" w:hAnsi="Verdana" w:cs="Arial"/>
          <w:b/>
          <w:sz w:val="20"/>
          <w:szCs w:val="20"/>
        </w:rPr>
      </w:pPr>
    </w:p>
    <w:p w14:paraId="5E414EA2" w14:textId="0E13AAB0" w:rsidR="002B3025" w:rsidRDefault="002B3025" w:rsidP="00551D66">
      <w:pPr>
        <w:pStyle w:val="Prrafodelista"/>
        <w:numPr>
          <w:ilvl w:val="0"/>
          <w:numId w:val="22"/>
        </w:numPr>
        <w:tabs>
          <w:tab w:val="left" w:pos="540"/>
        </w:tabs>
        <w:spacing w:after="0" w:line="240" w:lineRule="auto"/>
        <w:ind w:left="567" w:hanging="567"/>
        <w:jc w:val="both"/>
        <w:rPr>
          <w:rFonts w:ascii="Verdana" w:hAnsi="Verdana" w:cs="Arial"/>
          <w:bCs/>
          <w:sz w:val="20"/>
          <w:szCs w:val="20"/>
        </w:rPr>
      </w:pPr>
      <w:r w:rsidRPr="000D56B7">
        <w:rPr>
          <w:rFonts w:ascii="Verdana" w:hAnsi="Verdana" w:cs="Arial"/>
          <w:bCs/>
          <w:sz w:val="20"/>
          <w:szCs w:val="20"/>
        </w:rPr>
        <w:t>Cargos directos en las cuentas de</w:t>
      </w:r>
      <w:r w:rsidR="0039507B">
        <w:rPr>
          <w:rFonts w:ascii="Verdana" w:hAnsi="Verdana" w:cs="Arial"/>
          <w:bCs/>
          <w:sz w:val="20"/>
          <w:szCs w:val="20"/>
        </w:rPr>
        <w:t>l</w:t>
      </w:r>
      <w:r w:rsidRPr="000D56B7">
        <w:rPr>
          <w:rFonts w:ascii="Verdana" w:hAnsi="Verdana" w:cs="Arial"/>
          <w:bCs/>
          <w:sz w:val="20"/>
          <w:szCs w:val="20"/>
        </w:rPr>
        <w:t xml:space="preserve"> estado de resultados de la entidad, incluidos cargos por deterioro, así como amortizaciones contables debido a eventos de riesgo operacional.</w:t>
      </w:r>
    </w:p>
    <w:p w14:paraId="5312FBEC" w14:textId="77777777" w:rsidR="000D56B7" w:rsidRPr="000D56B7" w:rsidRDefault="000D56B7" w:rsidP="000D56B7">
      <w:pPr>
        <w:pStyle w:val="Prrafodelista"/>
        <w:tabs>
          <w:tab w:val="left" w:pos="540"/>
        </w:tabs>
        <w:spacing w:after="0" w:line="240" w:lineRule="auto"/>
        <w:ind w:left="567"/>
        <w:jc w:val="both"/>
        <w:rPr>
          <w:rFonts w:ascii="Verdana" w:hAnsi="Verdana" w:cs="Arial"/>
          <w:bCs/>
          <w:sz w:val="20"/>
          <w:szCs w:val="20"/>
        </w:rPr>
      </w:pPr>
    </w:p>
    <w:p w14:paraId="67B2AE44" w14:textId="0AAE0AF7" w:rsidR="002B3025" w:rsidRDefault="002B3025" w:rsidP="00551D66">
      <w:pPr>
        <w:pStyle w:val="Prrafodelista"/>
        <w:numPr>
          <w:ilvl w:val="0"/>
          <w:numId w:val="22"/>
        </w:numPr>
        <w:tabs>
          <w:tab w:val="left" w:pos="567"/>
        </w:tabs>
        <w:spacing w:after="0" w:line="240" w:lineRule="auto"/>
        <w:ind w:left="567" w:hanging="567"/>
        <w:jc w:val="both"/>
        <w:rPr>
          <w:rFonts w:ascii="Verdana" w:hAnsi="Verdana" w:cs="Arial"/>
          <w:sz w:val="20"/>
          <w:szCs w:val="20"/>
        </w:rPr>
      </w:pPr>
      <w:r w:rsidRPr="12B437D6">
        <w:rPr>
          <w:rFonts w:ascii="Verdana" w:hAnsi="Verdana" w:cs="Arial"/>
          <w:sz w:val="20"/>
          <w:szCs w:val="20"/>
        </w:rPr>
        <w:t>Costos incurridos como consecuencia de un evento, incluyendo gastos externos con una relación directa al evento por riesgo operacional (por ejemplo, gastos legales directamente relacionados al evento y comisiones pagadas a los asesores, abogados o proveedores) y costos de reparación o reemplazo incurridos para restaurar la posición que prevalecía antes del evento de riesgo operacional.</w:t>
      </w:r>
    </w:p>
    <w:p w14:paraId="34BB9D4F" w14:textId="77777777" w:rsidR="000D56B7" w:rsidRPr="000D56B7" w:rsidRDefault="000D56B7" w:rsidP="000D56B7">
      <w:pPr>
        <w:pStyle w:val="Prrafodelista"/>
        <w:rPr>
          <w:rFonts w:ascii="Verdana" w:hAnsi="Verdana" w:cs="Arial"/>
          <w:bCs/>
          <w:sz w:val="20"/>
          <w:szCs w:val="20"/>
        </w:rPr>
      </w:pPr>
    </w:p>
    <w:p w14:paraId="4CD46748" w14:textId="6814897B" w:rsidR="002B3025" w:rsidRPr="000D56B7" w:rsidRDefault="002B3025" w:rsidP="00551D66">
      <w:pPr>
        <w:pStyle w:val="Prrafodelista"/>
        <w:numPr>
          <w:ilvl w:val="0"/>
          <w:numId w:val="22"/>
        </w:numPr>
        <w:tabs>
          <w:tab w:val="left" w:pos="540"/>
        </w:tabs>
        <w:spacing w:after="0" w:line="240" w:lineRule="auto"/>
        <w:ind w:left="567" w:hanging="567"/>
        <w:jc w:val="both"/>
        <w:rPr>
          <w:rFonts w:ascii="Verdana" w:hAnsi="Verdana" w:cs="Arial"/>
          <w:bCs/>
          <w:sz w:val="20"/>
          <w:szCs w:val="20"/>
        </w:rPr>
      </w:pPr>
      <w:r w:rsidRPr="000D56B7">
        <w:rPr>
          <w:rFonts w:ascii="Verdana" w:hAnsi="Verdana" w:cs="Arial"/>
          <w:bCs/>
          <w:sz w:val="20"/>
          <w:szCs w:val="20"/>
        </w:rPr>
        <w:t>Provisiones o reservas contabilizadas con impacto en las cuentas de</w:t>
      </w:r>
      <w:r w:rsidR="00AE4A0A">
        <w:rPr>
          <w:rFonts w:ascii="Verdana" w:hAnsi="Verdana" w:cs="Arial"/>
          <w:bCs/>
          <w:sz w:val="20"/>
          <w:szCs w:val="20"/>
        </w:rPr>
        <w:t>l</w:t>
      </w:r>
      <w:r w:rsidRPr="000D56B7">
        <w:rPr>
          <w:rFonts w:ascii="Verdana" w:hAnsi="Verdana" w:cs="Arial"/>
          <w:bCs/>
          <w:sz w:val="20"/>
          <w:szCs w:val="20"/>
        </w:rPr>
        <w:t xml:space="preserve"> estado de resultados de la entidad.</w:t>
      </w:r>
    </w:p>
    <w:p w14:paraId="10335648" w14:textId="77777777" w:rsidR="0019508E" w:rsidRDefault="0019508E" w:rsidP="0019508E">
      <w:pPr>
        <w:pStyle w:val="Prrafodelista"/>
        <w:tabs>
          <w:tab w:val="left" w:pos="540"/>
        </w:tabs>
        <w:spacing w:after="0" w:line="240" w:lineRule="auto"/>
        <w:ind w:left="567"/>
        <w:jc w:val="both"/>
        <w:rPr>
          <w:rFonts w:ascii="Verdana" w:hAnsi="Verdana" w:cs="Arial"/>
          <w:bCs/>
          <w:sz w:val="20"/>
          <w:szCs w:val="20"/>
        </w:rPr>
      </w:pPr>
    </w:p>
    <w:p w14:paraId="086E0F26" w14:textId="3B934865" w:rsidR="002B3025" w:rsidRDefault="002B3025" w:rsidP="00551D66">
      <w:pPr>
        <w:pStyle w:val="Prrafodelista"/>
        <w:numPr>
          <w:ilvl w:val="0"/>
          <w:numId w:val="22"/>
        </w:numPr>
        <w:tabs>
          <w:tab w:val="left" w:pos="540"/>
        </w:tabs>
        <w:spacing w:after="0" w:line="240" w:lineRule="auto"/>
        <w:ind w:left="567" w:hanging="567"/>
        <w:jc w:val="both"/>
        <w:rPr>
          <w:rFonts w:ascii="Verdana" w:hAnsi="Verdana" w:cs="Arial"/>
          <w:sz w:val="20"/>
          <w:szCs w:val="20"/>
        </w:rPr>
      </w:pPr>
      <w:r w:rsidRPr="12B437D6">
        <w:rPr>
          <w:rFonts w:ascii="Verdana" w:hAnsi="Verdana" w:cs="Arial"/>
          <w:sz w:val="20"/>
          <w:szCs w:val="20"/>
        </w:rPr>
        <w:t xml:space="preserve">Los efectos económicos negativos contabilizados en el ejercicio contable como consecuencia de eventos de riesgo operacional que afecten a los flujos de caja y </w:t>
      </w:r>
      <w:r w:rsidRPr="12B437D6">
        <w:rPr>
          <w:rFonts w:ascii="Verdana" w:hAnsi="Verdana" w:cs="Arial"/>
          <w:sz w:val="20"/>
          <w:szCs w:val="20"/>
        </w:rPr>
        <w:lastRenderedPageBreak/>
        <w:t>los demás estados financieros de ejercicios contables anteriores (pérdidas por diferencias temporales). Estas pérdidas se deben incluir en el registro de eventos de riesgo operacional cuando se deban a eventos que abarquen más de un ejercicio contable y generen riesgo legal.</w:t>
      </w:r>
    </w:p>
    <w:p w14:paraId="57C13898" w14:textId="77777777" w:rsidR="002C78AA" w:rsidRPr="002C78AA" w:rsidRDefault="002C78AA" w:rsidP="002C78AA">
      <w:pPr>
        <w:tabs>
          <w:tab w:val="left" w:pos="540"/>
        </w:tabs>
        <w:spacing w:after="0" w:line="240" w:lineRule="auto"/>
        <w:jc w:val="both"/>
        <w:rPr>
          <w:rFonts w:ascii="Verdana" w:hAnsi="Verdana" w:cs="Arial"/>
          <w:sz w:val="20"/>
          <w:szCs w:val="20"/>
        </w:rPr>
      </w:pPr>
    </w:p>
    <w:p w14:paraId="64C33D0A" w14:textId="6817B01C" w:rsidR="008A6BBD" w:rsidRPr="008A6BBD" w:rsidRDefault="008A6BBD" w:rsidP="00551D66">
      <w:pPr>
        <w:pStyle w:val="Prrafodelista"/>
        <w:numPr>
          <w:ilvl w:val="1"/>
          <w:numId w:val="40"/>
        </w:numPr>
        <w:tabs>
          <w:tab w:val="left" w:pos="567"/>
        </w:tabs>
        <w:ind w:left="851" w:hanging="284"/>
        <w:jc w:val="both"/>
        <w:rPr>
          <w:rFonts w:ascii="Verdana" w:hAnsi="Verdana" w:cs="Arial"/>
          <w:b/>
          <w:sz w:val="20"/>
          <w:szCs w:val="20"/>
        </w:rPr>
      </w:pPr>
      <w:r w:rsidRPr="008A6BBD">
        <w:rPr>
          <w:rFonts w:ascii="Verdana" w:hAnsi="Verdana" w:cs="Arial"/>
          <w:b/>
          <w:sz w:val="20"/>
          <w:szCs w:val="20"/>
        </w:rPr>
        <w:t>Conceptos que se deben excluir del cálculo de las pérdidas brutas registradas en la base de eventos</w:t>
      </w:r>
    </w:p>
    <w:p w14:paraId="66910BAE" w14:textId="6389B1E2" w:rsidR="0019508E" w:rsidRPr="001C6CAB" w:rsidRDefault="0019508E" w:rsidP="0019508E">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B73C9A">
        <w:rPr>
          <w:rFonts w:ascii="Verdana" w:hAnsi="Verdana"/>
          <w:sz w:val="20"/>
          <w:szCs w:val="20"/>
        </w:rPr>
        <w:t>4</w:t>
      </w:r>
      <w:r w:rsidR="00B42F68">
        <w:rPr>
          <w:rFonts w:ascii="Verdana" w:hAnsi="Verdana"/>
          <w:sz w:val="20"/>
          <w:szCs w:val="20"/>
        </w:rPr>
        <w:t>3</w:t>
      </w:r>
      <w:r w:rsidRPr="001C6CAB">
        <w:rPr>
          <w:rFonts w:ascii="Verdana" w:hAnsi="Verdana"/>
          <w:sz w:val="20"/>
          <w:szCs w:val="20"/>
        </w:rPr>
        <w:t>.</w:t>
      </w:r>
    </w:p>
    <w:p w14:paraId="0147DF07" w14:textId="3B70A829" w:rsidR="002B3025" w:rsidRPr="002B3025" w:rsidRDefault="00965598" w:rsidP="00B929BB">
      <w:pPr>
        <w:tabs>
          <w:tab w:val="left" w:pos="709"/>
        </w:tabs>
        <w:jc w:val="both"/>
        <w:rPr>
          <w:rFonts w:ascii="Verdana" w:hAnsi="Verdana" w:cs="Arial"/>
          <w:bCs/>
          <w:sz w:val="20"/>
          <w:szCs w:val="20"/>
        </w:rPr>
      </w:pPr>
      <w:r>
        <w:rPr>
          <w:rFonts w:ascii="Verdana" w:hAnsi="Verdana" w:cs="Arial"/>
          <w:bCs/>
          <w:sz w:val="20"/>
          <w:szCs w:val="20"/>
        </w:rPr>
        <w:t>Los c</w:t>
      </w:r>
      <w:r w:rsidR="002B3025" w:rsidRPr="002B3025">
        <w:rPr>
          <w:rFonts w:ascii="Verdana" w:hAnsi="Verdana" w:cs="Arial"/>
          <w:bCs/>
          <w:sz w:val="20"/>
          <w:szCs w:val="20"/>
        </w:rPr>
        <w:t>onceptos que se deben excluir del cálculo de las pérdidas brutas registradas en la base de eventos</w:t>
      </w:r>
      <w:r>
        <w:rPr>
          <w:rFonts w:ascii="Verdana" w:hAnsi="Verdana" w:cs="Arial"/>
          <w:bCs/>
          <w:sz w:val="20"/>
          <w:szCs w:val="20"/>
        </w:rPr>
        <w:t xml:space="preserve"> son</w:t>
      </w:r>
      <w:r w:rsidR="002B3025" w:rsidRPr="002B3025">
        <w:rPr>
          <w:rFonts w:ascii="Verdana" w:hAnsi="Verdana" w:cs="Arial"/>
          <w:bCs/>
          <w:sz w:val="20"/>
          <w:szCs w:val="20"/>
        </w:rPr>
        <w:t>:</w:t>
      </w:r>
    </w:p>
    <w:p w14:paraId="6C63BF90" w14:textId="77777777" w:rsidR="002B3025" w:rsidRPr="00B568B4" w:rsidRDefault="002B3025" w:rsidP="00551D66">
      <w:pPr>
        <w:pStyle w:val="Prrafodelista"/>
        <w:numPr>
          <w:ilvl w:val="0"/>
          <w:numId w:val="23"/>
        </w:numPr>
        <w:tabs>
          <w:tab w:val="left" w:pos="567"/>
        </w:tabs>
        <w:spacing w:after="0" w:line="240" w:lineRule="auto"/>
        <w:ind w:left="567" w:hanging="567"/>
        <w:jc w:val="both"/>
        <w:rPr>
          <w:rFonts w:ascii="Verdana" w:hAnsi="Verdana" w:cs="Arial"/>
          <w:bCs/>
          <w:sz w:val="20"/>
          <w:szCs w:val="20"/>
        </w:rPr>
      </w:pPr>
      <w:r w:rsidRPr="00B568B4">
        <w:rPr>
          <w:rFonts w:ascii="Verdana" w:hAnsi="Verdana" w:cs="Arial"/>
          <w:bCs/>
          <w:sz w:val="20"/>
          <w:szCs w:val="20"/>
        </w:rPr>
        <w:t>Costos por contratos de mantenimiento general de la propiedad, planta y equipos.</w:t>
      </w:r>
    </w:p>
    <w:p w14:paraId="3070CDA6" w14:textId="77777777" w:rsidR="00B568B4" w:rsidRDefault="00B568B4" w:rsidP="00B568B4">
      <w:pPr>
        <w:pStyle w:val="Prrafodelista"/>
        <w:tabs>
          <w:tab w:val="left" w:pos="567"/>
        </w:tabs>
        <w:spacing w:after="0" w:line="240" w:lineRule="auto"/>
        <w:ind w:left="567"/>
        <w:jc w:val="both"/>
        <w:rPr>
          <w:rFonts w:ascii="Verdana" w:hAnsi="Verdana" w:cs="Arial"/>
          <w:bCs/>
          <w:sz w:val="20"/>
          <w:szCs w:val="20"/>
        </w:rPr>
      </w:pPr>
    </w:p>
    <w:p w14:paraId="57445CFA" w14:textId="58FFEA91" w:rsidR="002B3025" w:rsidRPr="00B568B4" w:rsidRDefault="002B3025" w:rsidP="00551D66">
      <w:pPr>
        <w:pStyle w:val="Prrafodelista"/>
        <w:numPr>
          <w:ilvl w:val="0"/>
          <w:numId w:val="23"/>
        </w:numPr>
        <w:tabs>
          <w:tab w:val="left" w:pos="567"/>
        </w:tabs>
        <w:spacing w:after="0" w:line="240" w:lineRule="auto"/>
        <w:ind w:left="567" w:hanging="567"/>
        <w:jc w:val="both"/>
        <w:rPr>
          <w:rFonts w:ascii="Verdana" w:hAnsi="Verdana" w:cs="Arial"/>
          <w:sz w:val="20"/>
          <w:szCs w:val="20"/>
        </w:rPr>
      </w:pPr>
      <w:r w:rsidRPr="12B437D6">
        <w:rPr>
          <w:rFonts w:ascii="Verdana" w:hAnsi="Verdana" w:cs="Arial"/>
          <w:sz w:val="20"/>
          <w:szCs w:val="20"/>
        </w:rPr>
        <w:t>Gastos internos o externos con el fin de mejorar el negocio después de las pérdidas por riesgo operacional (actualizaciones, mejoras, iniciativas de gestión del riesgo y mejoras en ellas).</w:t>
      </w:r>
    </w:p>
    <w:p w14:paraId="74AFBE61" w14:textId="77777777" w:rsidR="002B3025" w:rsidRPr="002B3025" w:rsidRDefault="002B3025" w:rsidP="00B568B4">
      <w:pPr>
        <w:pStyle w:val="Prrafodelista"/>
        <w:tabs>
          <w:tab w:val="left" w:pos="567"/>
        </w:tabs>
        <w:ind w:left="567" w:hanging="567"/>
        <w:rPr>
          <w:rFonts w:ascii="Verdana" w:hAnsi="Verdana" w:cs="Arial"/>
          <w:bCs/>
          <w:sz w:val="20"/>
          <w:szCs w:val="20"/>
        </w:rPr>
      </w:pPr>
    </w:p>
    <w:p w14:paraId="6A2BB87A" w14:textId="77777777" w:rsidR="002C78AA" w:rsidRPr="002C78AA" w:rsidRDefault="002B3025" w:rsidP="00551D66">
      <w:pPr>
        <w:pStyle w:val="Prrafodelista"/>
        <w:numPr>
          <w:ilvl w:val="0"/>
          <w:numId w:val="23"/>
        </w:numPr>
        <w:tabs>
          <w:tab w:val="left" w:pos="567"/>
        </w:tabs>
        <w:spacing w:after="0" w:line="240" w:lineRule="auto"/>
        <w:ind w:left="567" w:hanging="567"/>
        <w:jc w:val="both"/>
        <w:rPr>
          <w:rFonts w:ascii="Verdana" w:hAnsi="Verdana"/>
          <w:sz w:val="20"/>
          <w:szCs w:val="20"/>
        </w:rPr>
      </w:pPr>
      <w:r w:rsidRPr="002C78AA">
        <w:rPr>
          <w:rFonts w:ascii="Verdana" w:hAnsi="Verdana" w:cs="Arial"/>
          <w:bCs/>
          <w:sz w:val="20"/>
          <w:szCs w:val="20"/>
        </w:rPr>
        <w:t>Primas de seguro.</w:t>
      </w:r>
    </w:p>
    <w:p w14:paraId="544E7C31" w14:textId="77777777" w:rsidR="002C78AA" w:rsidRDefault="002C78AA" w:rsidP="002C78AA">
      <w:pPr>
        <w:tabs>
          <w:tab w:val="left" w:pos="567"/>
        </w:tabs>
        <w:spacing w:after="0" w:line="240" w:lineRule="auto"/>
        <w:jc w:val="both"/>
        <w:rPr>
          <w:rFonts w:ascii="Verdana" w:hAnsi="Verdana"/>
          <w:sz w:val="20"/>
          <w:szCs w:val="20"/>
        </w:rPr>
      </w:pPr>
    </w:p>
    <w:p w14:paraId="20290770" w14:textId="7BCE5967" w:rsidR="002B3025" w:rsidRDefault="002B3025" w:rsidP="00551D66">
      <w:pPr>
        <w:pStyle w:val="Prrafodelista"/>
        <w:numPr>
          <w:ilvl w:val="1"/>
          <w:numId w:val="40"/>
        </w:numPr>
        <w:tabs>
          <w:tab w:val="left" w:pos="567"/>
        </w:tabs>
        <w:ind w:left="851" w:hanging="284"/>
        <w:jc w:val="both"/>
        <w:rPr>
          <w:rFonts w:ascii="Verdana" w:hAnsi="Verdana" w:cs="Arial"/>
          <w:b/>
          <w:sz w:val="20"/>
          <w:szCs w:val="20"/>
        </w:rPr>
      </w:pPr>
      <w:r w:rsidRPr="00906324">
        <w:rPr>
          <w:rFonts w:ascii="Verdana" w:hAnsi="Verdana" w:cs="Arial"/>
          <w:b/>
          <w:sz w:val="20"/>
          <w:szCs w:val="20"/>
        </w:rPr>
        <w:t>Clasificación de las líneas de negocio</w:t>
      </w:r>
    </w:p>
    <w:p w14:paraId="1571862F" w14:textId="4B91BB64" w:rsidR="00906324" w:rsidRPr="00906324" w:rsidRDefault="00906324" w:rsidP="00906324">
      <w:pPr>
        <w:spacing w:after="0"/>
        <w:rPr>
          <w:rFonts w:ascii="Verdana" w:hAnsi="Verdana"/>
          <w:sz w:val="20"/>
          <w:szCs w:val="20"/>
        </w:rPr>
      </w:pPr>
      <w:r w:rsidRPr="00906324">
        <w:rPr>
          <w:rFonts w:ascii="Verdana" w:hAnsi="Verdana"/>
          <w:sz w:val="20"/>
          <w:szCs w:val="20"/>
        </w:rPr>
        <w:t>1.1.3.1</w:t>
      </w:r>
      <w:r w:rsidR="00B73C9A">
        <w:rPr>
          <w:rFonts w:ascii="Verdana" w:hAnsi="Verdana"/>
          <w:sz w:val="20"/>
          <w:szCs w:val="20"/>
        </w:rPr>
        <w:t>4</w:t>
      </w:r>
      <w:r w:rsidR="00B42F68">
        <w:rPr>
          <w:rFonts w:ascii="Verdana" w:hAnsi="Verdana"/>
          <w:sz w:val="20"/>
          <w:szCs w:val="20"/>
        </w:rPr>
        <w:t>4</w:t>
      </w:r>
      <w:r w:rsidRPr="00906324">
        <w:rPr>
          <w:rFonts w:ascii="Verdana" w:hAnsi="Verdana"/>
          <w:sz w:val="20"/>
          <w:szCs w:val="20"/>
        </w:rPr>
        <w:t>.</w:t>
      </w:r>
    </w:p>
    <w:p w14:paraId="14821EBC" w14:textId="29973880" w:rsidR="00906324" w:rsidRPr="00906324" w:rsidRDefault="00906324" w:rsidP="00906324">
      <w:pPr>
        <w:tabs>
          <w:tab w:val="left" w:pos="567"/>
        </w:tabs>
        <w:jc w:val="both"/>
        <w:rPr>
          <w:rFonts w:ascii="Verdana" w:hAnsi="Verdana" w:cs="Arial"/>
          <w:b/>
          <w:sz w:val="20"/>
          <w:szCs w:val="20"/>
        </w:rPr>
      </w:pPr>
      <w:r w:rsidRPr="00906324">
        <w:rPr>
          <w:rFonts w:ascii="Verdana" w:hAnsi="Verdana" w:cs="Arial"/>
          <w:bCs/>
          <w:sz w:val="20"/>
          <w:szCs w:val="20"/>
        </w:rPr>
        <w:t>L</w:t>
      </w:r>
      <w:r>
        <w:rPr>
          <w:rFonts w:ascii="Verdana" w:hAnsi="Verdana" w:cs="Arial"/>
          <w:bCs/>
          <w:sz w:val="20"/>
          <w:szCs w:val="20"/>
        </w:rPr>
        <w:t>a clasificación de las líneas de negocio debe ser consistente con la siguiente tabla:</w:t>
      </w:r>
    </w:p>
    <w:tbl>
      <w:tblPr>
        <w:tblW w:w="8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43"/>
        <w:gridCol w:w="709"/>
        <w:gridCol w:w="2186"/>
        <w:gridCol w:w="3455"/>
      </w:tblGrid>
      <w:tr w:rsidR="002E3760" w:rsidRPr="002B3025" w14:paraId="3909190C" w14:textId="77777777" w:rsidTr="00DF5598">
        <w:trPr>
          <w:tblHeader/>
        </w:trPr>
        <w:tc>
          <w:tcPr>
            <w:tcW w:w="567" w:type="dxa"/>
            <w:shd w:val="clear" w:color="auto" w:fill="D1D1D1" w:themeFill="background2" w:themeFillShade="E6"/>
            <w:vAlign w:val="center"/>
          </w:tcPr>
          <w:p w14:paraId="1F90DFAC" w14:textId="45409AEE" w:rsidR="002B3025" w:rsidRPr="00DF5598" w:rsidRDefault="002B3025" w:rsidP="00185042">
            <w:pPr>
              <w:rPr>
                <w:rFonts w:ascii="Verdana" w:hAnsi="Verdana" w:cs="Arial"/>
                <w:b/>
                <w:sz w:val="16"/>
                <w:szCs w:val="16"/>
              </w:rPr>
            </w:pPr>
            <w:r w:rsidRPr="00DF5598">
              <w:rPr>
                <w:rFonts w:ascii="Verdana" w:hAnsi="Verdana" w:cs="Arial"/>
                <w:b/>
                <w:noProof/>
                <w:sz w:val="16"/>
                <w:szCs w:val="16"/>
              </w:rPr>
              <mc:AlternateContent>
                <mc:Choice Requires="wps">
                  <w:drawing>
                    <wp:anchor distT="0" distB="0" distL="114300" distR="114300" simplePos="0" relativeHeight="251658240" behindDoc="0" locked="0" layoutInCell="1" allowOverlap="1" wp14:anchorId="5762F1A8" wp14:editId="09DDAAE0">
                      <wp:simplePos x="0" y="0"/>
                      <wp:positionH relativeFrom="column">
                        <wp:posOffset>252095</wp:posOffset>
                      </wp:positionH>
                      <wp:positionV relativeFrom="paragraph">
                        <wp:posOffset>-27322145</wp:posOffset>
                      </wp:positionV>
                      <wp:extent cx="26670" cy="9062085"/>
                      <wp:effectExtent l="0" t="0" r="30480" b="24765"/>
                      <wp:wrapNone/>
                      <wp:docPr id="127" name="Conector recto 127"/>
                      <wp:cNvGraphicFramePr/>
                      <a:graphic xmlns:a="http://schemas.openxmlformats.org/drawingml/2006/main">
                        <a:graphicData uri="http://schemas.microsoft.com/office/word/2010/wordprocessingShape">
                          <wps:wsp>
                            <wps:cNvCnPr/>
                            <wps:spPr>
                              <a:xfrm>
                                <a:off x="0" y="0"/>
                                <a:ext cx="26670" cy="90620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4E24A417">
                    <v:line id="Conector recto 127"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5pt" from="19.85pt,-2151.35pt" to="21.95pt,-1437.8pt" w14:anchorId="20193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">
                      <v:stroke joinstyle="miter"/>
                    </v:line>
                  </w:pict>
                </mc:Fallback>
              </mc:AlternateContent>
            </w:r>
            <w:r w:rsidRPr="00DF5598">
              <w:rPr>
                <w:rFonts w:ascii="Verdana" w:hAnsi="Verdana" w:cs="Arial"/>
                <w:b/>
                <w:sz w:val="16"/>
                <w:szCs w:val="16"/>
              </w:rPr>
              <w:t>N°</w:t>
            </w:r>
          </w:p>
        </w:tc>
        <w:tc>
          <w:tcPr>
            <w:tcW w:w="1843" w:type="dxa"/>
            <w:shd w:val="clear" w:color="auto" w:fill="D1D1D1" w:themeFill="background2" w:themeFillShade="E6"/>
            <w:vAlign w:val="center"/>
          </w:tcPr>
          <w:p w14:paraId="13E19A69" w14:textId="77777777" w:rsidR="002B3025" w:rsidRPr="00DF5598" w:rsidRDefault="002B3025" w:rsidP="00B929BB">
            <w:pPr>
              <w:jc w:val="center"/>
              <w:rPr>
                <w:rFonts w:ascii="Verdana" w:hAnsi="Verdana" w:cs="Arial"/>
                <w:b/>
                <w:sz w:val="16"/>
                <w:szCs w:val="16"/>
              </w:rPr>
            </w:pPr>
            <w:r w:rsidRPr="00DF5598">
              <w:rPr>
                <w:rFonts w:ascii="Verdana" w:hAnsi="Verdana" w:cs="Arial"/>
                <w:b/>
                <w:sz w:val="16"/>
                <w:szCs w:val="16"/>
              </w:rPr>
              <w:t>Líneas negocio</w:t>
            </w:r>
          </w:p>
          <w:p w14:paraId="50ED6837" w14:textId="77777777" w:rsidR="002B3025" w:rsidRPr="00DF5598" w:rsidRDefault="002B3025" w:rsidP="00B929BB">
            <w:pPr>
              <w:jc w:val="center"/>
              <w:rPr>
                <w:rFonts w:ascii="Verdana" w:hAnsi="Verdana" w:cs="Arial"/>
                <w:b/>
                <w:sz w:val="16"/>
                <w:szCs w:val="16"/>
              </w:rPr>
            </w:pPr>
            <w:r w:rsidRPr="00DF5598">
              <w:rPr>
                <w:rFonts w:ascii="Verdana" w:hAnsi="Verdana" w:cs="Arial"/>
                <w:b/>
                <w:sz w:val="16"/>
                <w:szCs w:val="16"/>
              </w:rPr>
              <w:t>(Nivel 1)</w:t>
            </w:r>
          </w:p>
        </w:tc>
        <w:tc>
          <w:tcPr>
            <w:tcW w:w="709" w:type="dxa"/>
            <w:shd w:val="clear" w:color="auto" w:fill="D1D1D1" w:themeFill="background2" w:themeFillShade="E6"/>
            <w:vAlign w:val="center"/>
          </w:tcPr>
          <w:p w14:paraId="3EC3D70E" w14:textId="5D67E975" w:rsidR="002B3025" w:rsidRPr="00DF5598" w:rsidRDefault="002B3025" w:rsidP="12B437D6">
            <w:pPr>
              <w:jc w:val="center"/>
              <w:rPr>
                <w:rFonts w:ascii="Verdana" w:hAnsi="Verdana" w:cs="Arial"/>
                <w:b/>
                <w:sz w:val="16"/>
                <w:szCs w:val="16"/>
              </w:rPr>
            </w:pPr>
            <w:r w:rsidRPr="00DF5598">
              <w:rPr>
                <w:rFonts w:ascii="Verdana" w:hAnsi="Verdana" w:cs="Arial"/>
                <w:b/>
                <w:sz w:val="16"/>
                <w:szCs w:val="16"/>
              </w:rPr>
              <w:t>N°</w:t>
            </w:r>
          </w:p>
        </w:tc>
        <w:tc>
          <w:tcPr>
            <w:tcW w:w="2186" w:type="dxa"/>
            <w:shd w:val="clear" w:color="auto" w:fill="D1D1D1" w:themeFill="background2" w:themeFillShade="E6"/>
            <w:vAlign w:val="center"/>
          </w:tcPr>
          <w:p w14:paraId="7A1DFC17" w14:textId="77777777" w:rsidR="002B3025" w:rsidRPr="00DF5598" w:rsidRDefault="002B3025" w:rsidP="00B929BB">
            <w:pPr>
              <w:jc w:val="center"/>
              <w:rPr>
                <w:rFonts w:ascii="Verdana" w:hAnsi="Verdana" w:cs="Arial"/>
                <w:b/>
                <w:sz w:val="16"/>
                <w:szCs w:val="16"/>
              </w:rPr>
            </w:pPr>
            <w:r w:rsidRPr="00DF5598">
              <w:rPr>
                <w:rFonts w:ascii="Verdana" w:hAnsi="Verdana" w:cs="Arial"/>
                <w:b/>
                <w:sz w:val="16"/>
                <w:szCs w:val="16"/>
              </w:rPr>
              <w:t>Líneas de negocio</w:t>
            </w:r>
          </w:p>
          <w:p w14:paraId="6B5CED8C" w14:textId="77777777" w:rsidR="002B3025" w:rsidRPr="00DF5598" w:rsidRDefault="002B3025" w:rsidP="00B929BB">
            <w:pPr>
              <w:jc w:val="center"/>
              <w:rPr>
                <w:rFonts w:ascii="Verdana" w:hAnsi="Verdana" w:cs="Arial"/>
                <w:b/>
                <w:sz w:val="16"/>
                <w:szCs w:val="16"/>
              </w:rPr>
            </w:pPr>
            <w:r w:rsidRPr="00DF5598">
              <w:rPr>
                <w:rFonts w:ascii="Verdana" w:hAnsi="Verdana" w:cs="Arial"/>
                <w:b/>
                <w:sz w:val="16"/>
                <w:szCs w:val="16"/>
              </w:rPr>
              <w:t>(Nivel 2)</w:t>
            </w:r>
          </w:p>
        </w:tc>
        <w:tc>
          <w:tcPr>
            <w:tcW w:w="3455" w:type="dxa"/>
            <w:shd w:val="clear" w:color="auto" w:fill="D1D1D1" w:themeFill="background2" w:themeFillShade="E6"/>
            <w:vAlign w:val="center"/>
          </w:tcPr>
          <w:p w14:paraId="671202FA" w14:textId="77777777" w:rsidR="002B3025" w:rsidRPr="00DF5598" w:rsidRDefault="002B3025" w:rsidP="00B929BB">
            <w:pPr>
              <w:jc w:val="center"/>
              <w:rPr>
                <w:rFonts w:ascii="Verdana" w:hAnsi="Verdana" w:cs="Arial"/>
                <w:b/>
                <w:sz w:val="16"/>
                <w:szCs w:val="16"/>
              </w:rPr>
            </w:pPr>
            <w:r w:rsidRPr="00DF5598">
              <w:rPr>
                <w:rFonts w:ascii="Verdana" w:hAnsi="Verdana" w:cs="Arial"/>
                <w:b/>
                <w:sz w:val="16"/>
                <w:szCs w:val="16"/>
              </w:rPr>
              <w:t>Descripción</w:t>
            </w:r>
          </w:p>
        </w:tc>
      </w:tr>
      <w:tr w:rsidR="002E3760" w:rsidRPr="002B3025" w14:paraId="1BBB8068" w14:textId="77777777" w:rsidTr="00DF5598">
        <w:tc>
          <w:tcPr>
            <w:tcW w:w="567" w:type="dxa"/>
            <w:vMerge w:val="restart"/>
            <w:vAlign w:val="center"/>
          </w:tcPr>
          <w:p w14:paraId="2D12AE3D"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1</w:t>
            </w:r>
          </w:p>
        </w:tc>
        <w:tc>
          <w:tcPr>
            <w:tcW w:w="1843" w:type="dxa"/>
            <w:vMerge w:val="restart"/>
            <w:vAlign w:val="center"/>
          </w:tcPr>
          <w:p w14:paraId="40B31B93"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Finanzas Corporativas</w:t>
            </w:r>
          </w:p>
        </w:tc>
        <w:tc>
          <w:tcPr>
            <w:tcW w:w="709" w:type="dxa"/>
            <w:vAlign w:val="center"/>
          </w:tcPr>
          <w:p w14:paraId="32359FD5"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1.1</w:t>
            </w:r>
          </w:p>
        </w:tc>
        <w:tc>
          <w:tcPr>
            <w:tcW w:w="2186" w:type="dxa"/>
            <w:vAlign w:val="center"/>
          </w:tcPr>
          <w:p w14:paraId="4E418884"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Finanzas Corporativas</w:t>
            </w:r>
          </w:p>
        </w:tc>
        <w:tc>
          <w:tcPr>
            <w:tcW w:w="3455" w:type="dxa"/>
            <w:vMerge w:val="restart"/>
            <w:vAlign w:val="center"/>
          </w:tcPr>
          <w:p w14:paraId="431F1D80"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Evaluación y estructuración financiera de proyectos. Asesoría en licitaciones y en esquemas de participación privada en proyectos. Optimización de estructuras financieras. Valoración de proyectos de privatizaciones, fusiones y adquisiciones. Asesoría en estructuraciones, emisiones y colocaciones de instrumentos financieros al mejor esfuerzo. Asesoría en materia de estructuración del capital, en estrategia industrial y en cuestiones afines o relacionadas. Estudios de inversiones. Análisis financiero. Realización de operaciones de financiamiento estructurado y participación en procesos de titularización.</w:t>
            </w:r>
          </w:p>
        </w:tc>
      </w:tr>
      <w:tr w:rsidR="002E3760" w:rsidRPr="002B3025" w14:paraId="338D4345" w14:textId="77777777" w:rsidTr="00DF5598">
        <w:tc>
          <w:tcPr>
            <w:tcW w:w="567" w:type="dxa"/>
            <w:vMerge/>
            <w:vAlign w:val="center"/>
          </w:tcPr>
          <w:p w14:paraId="0339E582" w14:textId="77777777" w:rsidR="002B3025" w:rsidRPr="00DF5598" w:rsidRDefault="002B3025" w:rsidP="00B929BB">
            <w:pPr>
              <w:jc w:val="both"/>
              <w:rPr>
                <w:rFonts w:ascii="Verdana" w:hAnsi="Verdana" w:cs="Arial"/>
                <w:bCs/>
                <w:sz w:val="16"/>
                <w:szCs w:val="16"/>
              </w:rPr>
            </w:pPr>
          </w:p>
        </w:tc>
        <w:tc>
          <w:tcPr>
            <w:tcW w:w="1843" w:type="dxa"/>
            <w:vMerge/>
            <w:vAlign w:val="center"/>
          </w:tcPr>
          <w:p w14:paraId="5F2669E4" w14:textId="77777777" w:rsidR="002B3025" w:rsidRPr="00DF5598" w:rsidRDefault="002B3025" w:rsidP="00B929BB">
            <w:pPr>
              <w:jc w:val="both"/>
              <w:rPr>
                <w:rFonts w:ascii="Verdana" w:hAnsi="Verdana" w:cs="Arial"/>
                <w:bCs/>
                <w:sz w:val="16"/>
                <w:szCs w:val="16"/>
              </w:rPr>
            </w:pPr>
          </w:p>
        </w:tc>
        <w:tc>
          <w:tcPr>
            <w:tcW w:w="709" w:type="dxa"/>
            <w:vAlign w:val="center"/>
          </w:tcPr>
          <w:p w14:paraId="5FB93C7A"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1.2</w:t>
            </w:r>
          </w:p>
        </w:tc>
        <w:tc>
          <w:tcPr>
            <w:tcW w:w="2186" w:type="dxa"/>
            <w:vAlign w:val="center"/>
          </w:tcPr>
          <w:p w14:paraId="6051ED55"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Finanzas de Administraciones Locales / Públicas</w:t>
            </w:r>
          </w:p>
        </w:tc>
        <w:tc>
          <w:tcPr>
            <w:tcW w:w="3455" w:type="dxa"/>
            <w:vMerge/>
            <w:vAlign w:val="center"/>
          </w:tcPr>
          <w:p w14:paraId="420ACDFD" w14:textId="77777777" w:rsidR="002B3025" w:rsidRPr="00DF5598" w:rsidRDefault="002B3025" w:rsidP="00B929BB">
            <w:pPr>
              <w:jc w:val="both"/>
              <w:rPr>
                <w:rFonts w:ascii="Verdana" w:hAnsi="Verdana" w:cs="Arial"/>
                <w:bCs/>
                <w:sz w:val="16"/>
                <w:szCs w:val="16"/>
              </w:rPr>
            </w:pPr>
          </w:p>
        </w:tc>
      </w:tr>
      <w:tr w:rsidR="002E3760" w:rsidRPr="002B3025" w14:paraId="59C7446F" w14:textId="77777777" w:rsidTr="00DF5598">
        <w:tc>
          <w:tcPr>
            <w:tcW w:w="567" w:type="dxa"/>
            <w:vMerge/>
            <w:vAlign w:val="center"/>
          </w:tcPr>
          <w:p w14:paraId="4D5A782C" w14:textId="77777777" w:rsidR="002B3025" w:rsidRPr="00DF5598" w:rsidRDefault="002B3025" w:rsidP="00B929BB">
            <w:pPr>
              <w:jc w:val="both"/>
              <w:rPr>
                <w:rFonts w:ascii="Verdana" w:hAnsi="Verdana" w:cs="Arial"/>
                <w:bCs/>
                <w:sz w:val="16"/>
                <w:szCs w:val="16"/>
              </w:rPr>
            </w:pPr>
          </w:p>
        </w:tc>
        <w:tc>
          <w:tcPr>
            <w:tcW w:w="1843" w:type="dxa"/>
            <w:vMerge/>
            <w:vAlign w:val="center"/>
          </w:tcPr>
          <w:p w14:paraId="22C0FC1D" w14:textId="77777777" w:rsidR="002B3025" w:rsidRPr="00DF5598" w:rsidRDefault="002B3025" w:rsidP="00B929BB">
            <w:pPr>
              <w:jc w:val="both"/>
              <w:rPr>
                <w:rFonts w:ascii="Verdana" w:hAnsi="Verdana" w:cs="Arial"/>
                <w:bCs/>
                <w:sz w:val="16"/>
                <w:szCs w:val="16"/>
              </w:rPr>
            </w:pPr>
          </w:p>
        </w:tc>
        <w:tc>
          <w:tcPr>
            <w:tcW w:w="709" w:type="dxa"/>
            <w:vAlign w:val="center"/>
          </w:tcPr>
          <w:p w14:paraId="6094ACFD"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1.3</w:t>
            </w:r>
          </w:p>
        </w:tc>
        <w:tc>
          <w:tcPr>
            <w:tcW w:w="2186" w:type="dxa"/>
            <w:vAlign w:val="center"/>
          </w:tcPr>
          <w:p w14:paraId="42BD588D"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Banca de Inversión</w:t>
            </w:r>
          </w:p>
        </w:tc>
        <w:tc>
          <w:tcPr>
            <w:tcW w:w="3455" w:type="dxa"/>
            <w:vMerge/>
            <w:vAlign w:val="center"/>
          </w:tcPr>
          <w:p w14:paraId="74FAEF9D" w14:textId="77777777" w:rsidR="002B3025" w:rsidRPr="00DF5598" w:rsidRDefault="002B3025" w:rsidP="00B929BB">
            <w:pPr>
              <w:jc w:val="both"/>
              <w:rPr>
                <w:rFonts w:ascii="Verdana" w:hAnsi="Verdana" w:cs="Arial"/>
                <w:bCs/>
                <w:sz w:val="16"/>
                <w:szCs w:val="16"/>
              </w:rPr>
            </w:pPr>
          </w:p>
        </w:tc>
      </w:tr>
      <w:tr w:rsidR="002E3760" w:rsidRPr="002B3025" w14:paraId="7EB6FB41" w14:textId="77777777" w:rsidTr="00DF5598">
        <w:tc>
          <w:tcPr>
            <w:tcW w:w="567" w:type="dxa"/>
            <w:vMerge/>
            <w:vAlign w:val="center"/>
          </w:tcPr>
          <w:p w14:paraId="4C992D77" w14:textId="77777777" w:rsidR="002B3025" w:rsidRPr="00DF5598" w:rsidRDefault="002B3025" w:rsidP="00B929BB">
            <w:pPr>
              <w:jc w:val="both"/>
              <w:rPr>
                <w:rFonts w:ascii="Verdana" w:hAnsi="Verdana" w:cs="Arial"/>
                <w:bCs/>
                <w:sz w:val="16"/>
                <w:szCs w:val="16"/>
              </w:rPr>
            </w:pPr>
          </w:p>
        </w:tc>
        <w:tc>
          <w:tcPr>
            <w:tcW w:w="1843" w:type="dxa"/>
            <w:vMerge/>
            <w:vAlign w:val="center"/>
          </w:tcPr>
          <w:p w14:paraId="2B721196" w14:textId="77777777" w:rsidR="002B3025" w:rsidRPr="00DF5598" w:rsidRDefault="002B3025" w:rsidP="00B929BB">
            <w:pPr>
              <w:jc w:val="both"/>
              <w:rPr>
                <w:rFonts w:ascii="Verdana" w:hAnsi="Verdana" w:cs="Arial"/>
                <w:bCs/>
                <w:sz w:val="16"/>
                <w:szCs w:val="16"/>
              </w:rPr>
            </w:pPr>
          </w:p>
        </w:tc>
        <w:tc>
          <w:tcPr>
            <w:tcW w:w="709" w:type="dxa"/>
            <w:vAlign w:val="center"/>
          </w:tcPr>
          <w:p w14:paraId="52197BC9"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1.4</w:t>
            </w:r>
          </w:p>
        </w:tc>
        <w:tc>
          <w:tcPr>
            <w:tcW w:w="2186" w:type="dxa"/>
            <w:vAlign w:val="center"/>
          </w:tcPr>
          <w:p w14:paraId="36AEB51F"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Servicios de Asesoramiento</w:t>
            </w:r>
          </w:p>
        </w:tc>
        <w:tc>
          <w:tcPr>
            <w:tcW w:w="3455" w:type="dxa"/>
            <w:vMerge/>
            <w:vAlign w:val="center"/>
          </w:tcPr>
          <w:p w14:paraId="67673DB3" w14:textId="77777777" w:rsidR="002B3025" w:rsidRPr="00DF5598" w:rsidRDefault="002B3025" w:rsidP="00B929BB">
            <w:pPr>
              <w:jc w:val="both"/>
              <w:rPr>
                <w:rFonts w:ascii="Verdana" w:hAnsi="Verdana" w:cs="Arial"/>
                <w:bCs/>
                <w:sz w:val="16"/>
                <w:szCs w:val="16"/>
              </w:rPr>
            </w:pPr>
          </w:p>
        </w:tc>
      </w:tr>
      <w:tr w:rsidR="002E3760" w:rsidRPr="002B3025" w14:paraId="0DDBAF86" w14:textId="77777777" w:rsidTr="00DF5598">
        <w:tc>
          <w:tcPr>
            <w:tcW w:w="567" w:type="dxa"/>
            <w:vMerge/>
            <w:vAlign w:val="center"/>
          </w:tcPr>
          <w:p w14:paraId="4CD1D6C9" w14:textId="77777777" w:rsidR="002B3025" w:rsidRPr="00DF5598" w:rsidRDefault="002B3025" w:rsidP="00B929BB">
            <w:pPr>
              <w:jc w:val="both"/>
              <w:rPr>
                <w:rFonts w:ascii="Verdana" w:hAnsi="Verdana" w:cs="Arial"/>
                <w:bCs/>
                <w:sz w:val="16"/>
                <w:szCs w:val="16"/>
              </w:rPr>
            </w:pPr>
          </w:p>
        </w:tc>
        <w:tc>
          <w:tcPr>
            <w:tcW w:w="1843" w:type="dxa"/>
            <w:vMerge/>
            <w:vAlign w:val="center"/>
          </w:tcPr>
          <w:p w14:paraId="2929C5B2" w14:textId="77777777" w:rsidR="002B3025" w:rsidRPr="00DF5598" w:rsidRDefault="002B3025" w:rsidP="00B929BB">
            <w:pPr>
              <w:jc w:val="both"/>
              <w:rPr>
                <w:rFonts w:ascii="Verdana" w:hAnsi="Verdana" w:cs="Arial"/>
                <w:bCs/>
                <w:sz w:val="16"/>
                <w:szCs w:val="16"/>
              </w:rPr>
            </w:pPr>
          </w:p>
        </w:tc>
        <w:tc>
          <w:tcPr>
            <w:tcW w:w="709" w:type="dxa"/>
            <w:vAlign w:val="center"/>
          </w:tcPr>
          <w:p w14:paraId="42920DFD"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1.5</w:t>
            </w:r>
          </w:p>
        </w:tc>
        <w:tc>
          <w:tcPr>
            <w:tcW w:w="2186" w:type="dxa"/>
            <w:vAlign w:val="center"/>
          </w:tcPr>
          <w:p w14:paraId="782F71F5"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Titularización</w:t>
            </w:r>
          </w:p>
        </w:tc>
        <w:tc>
          <w:tcPr>
            <w:tcW w:w="3455" w:type="dxa"/>
            <w:vMerge/>
            <w:vAlign w:val="center"/>
          </w:tcPr>
          <w:p w14:paraId="4F33B60B" w14:textId="77777777" w:rsidR="002B3025" w:rsidRPr="00DF5598" w:rsidRDefault="002B3025" w:rsidP="00B929BB">
            <w:pPr>
              <w:jc w:val="both"/>
              <w:rPr>
                <w:rFonts w:ascii="Verdana" w:hAnsi="Verdana" w:cs="Arial"/>
                <w:bCs/>
                <w:sz w:val="16"/>
                <w:szCs w:val="16"/>
              </w:rPr>
            </w:pPr>
          </w:p>
        </w:tc>
      </w:tr>
      <w:tr w:rsidR="002E3760" w:rsidRPr="002B3025" w14:paraId="75D27698" w14:textId="77777777" w:rsidTr="00DF5598">
        <w:tc>
          <w:tcPr>
            <w:tcW w:w="567" w:type="dxa"/>
            <w:vMerge w:val="restart"/>
            <w:vAlign w:val="center"/>
          </w:tcPr>
          <w:p w14:paraId="3FE94DE5"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2</w:t>
            </w:r>
          </w:p>
        </w:tc>
        <w:tc>
          <w:tcPr>
            <w:tcW w:w="1843" w:type="dxa"/>
            <w:vMerge w:val="restart"/>
            <w:vAlign w:val="center"/>
          </w:tcPr>
          <w:p w14:paraId="745E1617"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Emisión, Negociación y Venta</w:t>
            </w:r>
          </w:p>
        </w:tc>
        <w:tc>
          <w:tcPr>
            <w:tcW w:w="709" w:type="dxa"/>
            <w:vAlign w:val="center"/>
          </w:tcPr>
          <w:p w14:paraId="588270A2"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2.1</w:t>
            </w:r>
          </w:p>
        </w:tc>
        <w:tc>
          <w:tcPr>
            <w:tcW w:w="2186" w:type="dxa"/>
            <w:vAlign w:val="center"/>
          </w:tcPr>
          <w:p w14:paraId="1F27CF7E"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Ventas</w:t>
            </w:r>
          </w:p>
        </w:tc>
        <w:tc>
          <w:tcPr>
            <w:tcW w:w="3455" w:type="dxa"/>
            <w:vMerge w:val="restart"/>
            <w:vAlign w:val="center"/>
          </w:tcPr>
          <w:p w14:paraId="554FEA0A" w14:textId="134293E3" w:rsidR="002B3025" w:rsidRPr="00DF5598" w:rsidRDefault="002B3025" w:rsidP="12B437D6">
            <w:pPr>
              <w:jc w:val="both"/>
              <w:rPr>
                <w:rFonts w:ascii="Verdana" w:hAnsi="Verdana" w:cs="Arial"/>
                <w:sz w:val="16"/>
                <w:szCs w:val="16"/>
              </w:rPr>
            </w:pPr>
            <w:r w:rsidRPr="00DF5598">
              <w:rPr>
                <w:rFonts w:ascii="Verdana" w:hAnsi="Verdana" w:cs="Arial"/>
                <w:sz w:val="16"/>
                <w:szCs w:val="16"/>
              </w:rPr>
              <w:t xml:space="preserve">Negociación en posición propia sobre valores u operaciones de derivados con subyacente en valores, con independencia de sus características. Valores adquiridos en desarrollo de contratos de </w:t>
            </w:r>
            <w:r w:rsidRPr="00DF5598">
              <w:rPr>
                <w:rFonts w:ascii="Verdana" w:hAnsi="Verdana" w:cs="Arial"/>
                <w:i/>
                <w:iCs/>
                <w:sz w:val="16"/>
                <w:szCs w:val="16"/>
              </w:rPr>
              <w:t>underwriting</w:t>
            </w:r>
            <w:r w:rsidRPr="00DF5598">
              <w:rPr>
                <w:rFonts w:ascii="Verdana" w:hAnsi="Verdana" w:cs="Arial"/>
                <w:sz w:val="16"/>
                <w:szCs w:val="16"/>
              </w:rPr>
              <w:t>. Emisión de deuda o acciones.</w:t>
            </w:r>
          </w:p>
        </w:tc>
      </w:tr>
      <w:tr w:rsidR="002E3760" w:rsidRPr="002B3025" w14:paraId="14E4FEFA" w14:textId="77777777" w:rsidTr="00DF5598">
        <w:tc>
          <w:tcPr>
            <w:tcW w:w="567" w:type="dxa"/>
            <w:vMerge/>
            <w:vAlign w:val="center"/>
          </w:tcPr>
          <w:p w14:paraId="261C93D1" w14:textId="77777777" w:rsidR="002B3025" w:rsidRPr="00DF5598" w:rsidRDefault="002B3025" w:rsidP="00B929BB">
            <w:pPr>
              <w:jc w:val="both"/>
              <w:rPr>
                <w:rFonts w:ascii="Verdana" w:hAnsi="Verdana" w:cs="Arial"/>
                <w:bCs/>
                <w:sz w:val="16"/>
                <w:szCs w:val="16"/>
              </w:rPr>
            </w:pPr>
          </w:p>
        </w:tc>
        <w:tc>
          <w:tcPr>
            <w:tcW w:w="1843" w:type="dxa"/>
            <w:vMerge/>
            <w:vAlign w:val="center"/>
          </w:tcPr>
          <w:p w14:paraId="315F704D" w14:textId="77777777" w:rsidR="002B3025" w:rsidRPr="00DF5598" w:rsidRDefault="002B3025" w:rsidP="00B929BB">
            <w:pPr>
              <w:jc w:val="both"/>
              <w:rPr>
                <w:rFonts w:ascii="Verdana" w:hAnsi="Verdana" w:cs="Arial"/>
                <w:bCs/>
                <w:sz w:val="16"/>
                <w:szCs w:val="16"/>
              </w:rPr>
            </w:pPr>
          </w:p>
        </w:tc>
        <w:tc>
          <w:tcPr>
            <w:tcW w:w="709" w:type="dxa"/>
            <w:vAlign w:val="center"/>
          </w:tcPr>
          <w:p w14:paraId="3563F65E"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2.2</w:t>
            </w:r>
          </w:p>
        </w:tc>
        <w:tc>
          <w:tcPr>
            <w:tcW w:w="2186" w:type="dxa"/>
            <w:vAlign w:val="center"/>
          </w:tcPr>
          <w:p w14:paraId="56EF370F"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Creación de Mercado</w:t>
            </w:r>
          </w:p>
        </w:tc>
        <w:tc>
          <w:tcPr>
            <w:tcW w:w="3455" w:type="dxa"/>
            <w:vMerge/>
            <w:vAlign w:val="center"/>
          </w:tcPr>
          <w:p w14:paraId="32201C28" w14:textId="77777777" w:rsidR="002B3025" w:rsidRPr="00DF5598" w:rsidRDefault="002B3025" w:rsidP="00B929BB">
            <w:pPr>
              <w:jc w:val="both"/>
              <w:rPr>
                <w:rFonts w:ascii="Verdana" w:hAnsi="Verdana" w:cs="Arial"/>
                <w:bCs/>
                <w:sz w:val="16"/>
                <w:szCs w:val="16"/>
              </w:rPr>
            </w:pPr>
          </w:p>
        </w:tc>
      </w:tr>
      <w:tr w:rsidR="002E3760" w:rsidRPr="002B3025" w14:paraId="25429A67" w14:textId="77777777" w:rsidTr="00DF5598">
        <w:tc>
          <w:tcPr>
            <w:tcW w:w="567" w:type="dxa"/>
            <w:vMerge/>
            <w:vAlign w:val="center"/>
          </w:tcPr>
          <w:p w14:paraId="30168B7F" w14:textId="77777777" w:rsidR="002B3025" w:rsidRPr="00DF5598" w:rsidRDefault="002B3025" w:rsidP="00B929BB">
            <w:pPr>
              <w:jc w:val="both"/>
              <w:rPr>
                <w:rFonts w:ascii="Verdana" w:hAnsi="Verdana" w:cs="Arial"/>
                <w:bCs/>
                <w:sz w:val="16"/>
                <w:szCs w:val="16"/>
              </w:rPr>
            </w:pPr>
          </w:p>
        </w:tc>
        <w:tc>
          <w:tcPr>
            <w:tcW w:w="1843" w:type="dxa"/>
            <w:vMerge/>
            <w:vAlign w:val="center"/>
          </w:tcPr>
          <w:p w14:paraId="6BF25655" w14:textId="77777777" w:rsidR="002B3025" w:rsidRPr="00DF5598" w:rsidRDefault="002B3025" w:rsidP="00B929BB">
            <w:pPr>
              <w:jc w:val="both"/>
              <w:rPr>
                <w:rFonts w:ascii="Verdana" w:hAnsi="Verdana" w:cs="Arial"/>
                <w:bCs/>
                <w:sz w:val="16"/>
                <w:szCs w:val="16"/>
              </w:rPr>
            </w:pPr>
          </w:p>
        </w:tc>
        <w:tc>
          <w:tcPr>
            <w:tcW w:w="709" w:type="dxa"/>
            <w:vAlign w:val="center"/>
          </w:tcPr>
          <w:p w14:paraId="4AE6FADB"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2.3</w:t>
            </w:r>
          </w:p>
        </w:tc>
        <w:tc>
          <w:tcPr>
            <w:tcW w:w="2186" w:type="dxa"/>
            <w:vAlign w:val="center"/>
          </w:tcPr>
          <w:p w14:paraId="1A3286B1"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Posición Propia</w:t>
            </w:r>
          </w:p>
        </w:tc>
        <w:tc>
          <w:tcPr>
            <w:tcW w:w="3455" w:type="dxa"/>
            <w:vMerge/>
            <w:vAlign w:val="center"/>
          </w:tcPr>
          <w:p w14:paraId="1F65F3B1" w14:textId="77777777" w:rsidR="002B3025" w:rsidRPr="00DF5598" w:rsidRDefault="002B3025" w:rsidP="00B929BB">
            <w:pPr>
              <w:jc w:val="both"/>
              <w:rPr>
                <w:rFonts w:ascii="Verdana" w:hAnsi="Verdana" w:cs="Arial"/>
                <w:bCs/>
                <w:sz w:val="16"/>
                <w:szCs w:val="16"/>
              </w:rPr>
            </w:pPr>
          </w:p>
        </w:tc>
      </w:tr>
      <w:tr w:rsidR="002E3760" w:rsidRPr="002B3025" w14:paraId="1D9BD44A" w14:textId="77777777" w:rsidTr="00DF5598">
        <w:tc>
          <w:tcPr>
            <w:tcW w:w="567" w:type="dxa"/>
            <w:vMerge/>
            <w:vAlign w:val="center"/>
          </w:tcPr>
          <w:p w14:paraId="072A37BD" w14:textId="77777777" w:rsidR="002B3025" w:rsidRPr="00DF5598" w:rsidRDefault="002B3025" w:rsidP="00B929BB">
            <w:pPr>
              <w:jc w:val="both"/>
              <w:rPr>
                <w:rFonts w:ascii="Verdana" w:hAnsi="Verdana" w:cs="Arial"/>
                <w:bCs/>
                <w:sz w:val="16"/>
                <w:szCs w:val="16"/>
              </w:rPr>
            </w:pPr>
          </w:p>
        </w:tc>
        <w:tc>
          <w:tcPr>
            <w:tcW w:w="1843" w:type="dxa"/>
            <w:vMerge/>
            <w:vAlign w:val="center"/>
          </w:tcPr>
          <w:p w14:paraId="79A90AB9" w14:textId="77777777" w:rsidR="002B3025" w:rsidRPr="00DF5598" w:rsidRDefault="002B3025" w:rsidP="00B929BB">
            <w:pPr>
              <w:jc w:val="both"/>
              <w:rPr>
                <w:rFonts w:ascii="Verdana" w:hAnsi="Verdana" w:cs="Arial"/>
                <w:bCs/>
                <w:sz w:val="16"/>
                <w:szCs w:val="16"/>
              </w:rPr>
            </w:pPr>
          </w:p>
        </w:tc>
        <w:tc>
          <w:tcPr>
            <w:tcW w:w="709" w:type="dxa"/>
            <w:vAlign w:val="center"/>
          </w:tcPr>
          <w:p w14:paraId="650D5CD5"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2.4</w:t>
            </w:r>
          </w:p>
        </w:tc>
        <w:tc>
          <w:tcPr>
            <w:tcW w:w="2186" w:type="dxa"/>
            <w:vAlign w:val="center"/>
          </w:tcPr>
          <w:p w14:paraId="4CAF3A82"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Tesorería</w:t>
            </w:r>
          </w:p>
        </w:tc>
        <w:tc>
          <w:tcPr>
            <w:tcW w:w="3455" w:type="dxa"/>
            <w:vMerge/>
            <w:vAlign w:val="center"/>
          </w:tcPr>
          <w:p w14:paraId="796472FA" w14:textId="77777777" w:rsidR="002B3025" w:rsidRPr="00DF5598" w:rsidRDefault="002B3025" w:rsidP="00B929BB">
            <w:pPr>
              <w:jc w:val="both"/>
              <w:rPr>
                <w:rFonts w:ascii="Verdana" w:hAnsi="Verdana" w:cs="Arial"/>
                <w:bCs/>
                <w:sz w:val="16"/>
                <w:szCs w:val="16"/>
              </w:rPr>
            </w:pPr>
          </w:p>
        </w:tc>
      </w:tr>
      <w:tr w:rsidR="002E3760" w:rsidRPr="002B3025" w14:paraId="61E3F45F" w14:textId="77777777" w:rsidTr="00DF5598">
        <w:tc>
          <w:tcPr>
            <w:tcW w:w="567" w:type="dxa"/>
            <w:vMerge/>
            <w:vAlign w:val="center"/>
          </w:tcPr>
          <w:p w14:paraId="7E2BCAE9" w14:textId="77777777" w:rsidR="002B3025" w:rsidRPr="00DF5598" w:rsidRDefault="002B3025" w:rsidP="00B929BB">
            <w:pPr>
              <w:jc w:val="both"/>
              <w:rPr>
                <w:rFonts w:ascii="Verdana" w:hAnsi="Verdana" w:cs="Arial"/>
                <w:bCs/>
                <w:sz w:val="16"/>
                <w:szCs w:val="16"/>
              </w:rPr>
            </w:pPr>
          </w:p>
        </w:tc>
        <w:tc>
          <w:tcPr>
            <w:tcW w:w="1843" w:type="dxa"/>
            <w:vMerge/>
            <w:vAlign w:val="center"/>
          </w:tcPr>
          <w:p w14:paraId="7114370A" w14:textId="77777777" w:rsidR="002B3025" w:rsidRPr="00DF5598" w:rsidRDefault="002B3025" w:rsidP="00B929BB">
            <w:pPr>
              <w:jc w:val="both"/>
              <w:rPr>
                <w:rFonts w:ascii="Verdana" w:hAnsi="Verdana" w:cs="Arial"/>
                <w:bCs/>
                <w:sz w:val="16"/>
                <w:szCs w:val="16"/>
              </w:rPr>
            </w:pPr>
          </w:p>
        </w:tc>
        <w:tc>
          <w:tcPr>
            <w:tcW w:w="709" w:type="dxa"/>
            <w:vAlign w:val="center"/>
          </w:tcPr>
          <w:p w14:paraId="2F907824"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2.5</w:t>
            </w:r>
          </w:p>
        </w:tc>
        <w:tc>
          <w:tcPr>
            <w:tcW w:w="2186" w:type="dxa"/>
            <w:vAlign w:val="center"/>
          </w:tcPr>
          <w:p w14:paraId="545DBA25"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Emisión</w:t>
            </w:r>
          </w:p>
        </w:tc>
        <w:tc>
          <w:tcPr>
            <w:tcW w:w="3455" w:type="dxa"/>
            <w:vMerge/>
            <w:vAlign w:val="center"/>
          </w:tcPr>
          <w:p w14:paraId="2ABAF8B5" w14:textId="77777777" w:rsidR="002B3025" w:rsidRPr="00DF5598" w:rsidRDefault="002B3025" w:rsidP="00B929BB">
            <w:pPr>
              <w:jc w:val="both"/>
              <w:rPr>
                <w:rFonts w:ascii="Verdana" w:hAnsi="Verdana" w:cs="Arial"/>
                <w:bCs/>
                <w:sz w:val="16"/>
                <w:szCs w:val="16"/>
              </w:rPr>
            </w:pPr>
          </w:p>
        </w:tc>
      </w:tr>
      <w:tr w:rsidR="002E3760" w:rsidRPr="002B3025" w14:paraId="6AF8021A" w14:textId="77777777" w:rsidTr="00DF5598">
        <w:tc>
          <w:tcPr>
            <w:tcW w:w="567" w:type="dxa"/>
            <w:vMerge w:val="restart"/>
            <w:vAlign w:val="center"/>
          </w:tcPr>
          <w:p w14:paraId="0122B855"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3</w:t>
            </w:r>
          </w:p>
        </w:tc>
        <w:tc>
          <w:tcPr>
            <w:tcW w:w="1843" w:type="dxa"/>
            <w:vMerge w:val="restart"/>
            <w:vAlign w:val="center"/>
          </w:tcPr>
          <w:p w14:paraId="2C0643DC"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Banca Personal y Minorista</w:t>
            </w:r>
          </w:p>
        </w:tc>
        <w:tc>
          <w:tcPr>
            <w:tcW w:w="709" w:type="dxa"/>
            <w:vAlign w:val="center"/>
          </w:tcPr>
          <w:p w14:paraId="0766247F"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3.1</w:t>
            </w:r>
          </w:p>
        </w:tc>
        <w:tc>
          <w:tcPr>
            <w:tcW w:w="2186" w:type="dxa"/>
            <w:vAlign w:val="center"/>
          </w:tcPr>
          <w:p w14:paraId="7492C562"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Banca minorista</w:t>
            </w:r>
          </w:p>
        </w:tc>
        <w:tc>
          <w:tcPr>
            <w:tcW w:w="3455" w:type="dxa"/>
            <w:vMerge w:val="restart"/>
            <w:vAlign w:val="center"/>
          </w:tcPr>
          <w:p w14:paraId="3DAB2D5C" w14:textId="4354941B" w:rsidR="002B3025" w:rsidRPr="00DF5598" w:rsidRDefault="002B3025" w:rsidP="12B437D6">
            <w:pPr>
              <w:jc w:val="both"/>
              <w:rPr>
                <w:rFonts w:ascii="Verdana" w:hAnsi="Verdana" w:cs="Arial"/>
                <w:sz w:val="16"/>
                <w:szCs w:val="16"/>
              </w:rPr>
            </w:pPr>
            <w:r w:rsidRPr="00DF5598">
              <w:rPr>
                <w:rFonts w:ascii="Verdana" w:hAnsi="Verdana" w:cs="Arial"/>
                <w:sz w:val="16"/>
                <w:szCs w:val="16"/>
              </w:rPr>
              <w:t xml:space="preserve">Recepción de depósitos en cualquier modalidad. Otorgamiento de créditos en las modalidades de microcrédito, consumo, vivienda y, en general, cualquier operación activa de crédito que celebren con sus clientes. Para la clasificación de las actividades en esta línea se debe tener en cuenta que la actividad de captación y colocación de recursos se circunscribe únicamente a personas naturales y microempresas, según definición de la Ley 590 de 2000 con sus modificaciones y/o adiciones. Sin embargo, en el caso de créditos de vivienda se deben excluir los otorgados </w:t>
            </w:r>
            <w:r w:rsidRPr="00DF5598">
              <w:rPr>
                <w:rFonts w:ascii="Verdana" w:hAnsi="Verdana" w:cs="Arial"/>
                <w:sz w:val="16"/>
                <w:szCs w:val="16"/>
              </w:rPr>
              <w:lastRenderedPageBreak/>
              <w:t xml:space="preserve">para financiar proyectos de construcción con independencia de si se otorgan a persona natural o jurídica. Financiamiento a clientes, tarjetas de crédito corporativas, de marca propia y débito, préstamo automotriz. </w:t>
            </w:r>
          </w:p>
        </w:tc>
      </w:tr>
      <w:tr w:rsidR="002E3760" w:rsidRPr="002B3025" w14:paraId="0E22A6D7" w14:textId="77777777" w:rsidTr="00DF5598">
        <w:tc>
          <w:tcPr>
            <w:tcW w:w="567" w:type="dxa"/>
            <w:vMerge/>
            <w:vAlign w:val="center"/>
          </w:tcPr>
          <w:p w14:paraId="47759DED" w14:textId="77777777" w:rsidR="002B3025" w:rsidRPr="00DF5598" w:rsidRDefault="002B3025" w:rsidP="00B929BB">
            <w:pPr>
              <w:jc w:val="both"/>
              <w:rPr>
                <w:rFonts w:ascii="Verdana" w:hAnsi="Verdana" w:cs="Arial"/>
                <w:bCs/>
                <w:sz w:val="16"/>
                <w:szCs w:val="16"/>
              </w:rPr>
            </w:pPr>
          </w:p>
        </w:tc>
        <w:tc>
          <w:tcPr>
            <w:tcW w:w="1843" w:type="dxa"/>
            <w:vMerge/>
            <w:vAlign w:val="center"/>
          </w:tcPr>
          <w:p w14:paraId="063857F4" w14:textId="77777777" w:rsidR="002B3025" w:rsidRPr="00DF5598" w:rsidRDefault="002B3025" w:rsidP="00B929BB">
            <w:pPr>
              <w:jc w:val="both"/>
              <w:rPr>
                <w:rFonts w:ascii="Verdana" w:hAnsi="Verdana" w:cs="Arial"/>
                <w:bCs/>
                <w:sz w:val="16"/>
                <w:szCs w:val="16"/>
              </w:rPr>
            </w:pPr>
          </w:p>
        </w:tc>
        <w:tc>
          <w:tcPr>
            <w:tcW w:w="709" w:type="dxa"/>
            <w:vAlign w:val="center"/>
          </w:tcPr>
          <w:p w14:paraId="3A92F0BA"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3.2</w:t>
            </w:r>
          </w:p>
        </w:tc>
        <w:tc>
          <w:tcPr>
            <w:tcW w:w="2186" w:type="dxa"/>
            <w:vAlign w:val="center"/>
          </w:tcPr>
          <w:p w14:paraId="3229D52E"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Banca privada o patrimonial</w:t>
            </w:r>
          </w:p>
        </w:tc>
        <w:tc>
          <w:tcPr>
            <w:tcW w:w="3455" w:type="dxa"/>
            <w:vMerge/>
            <w:vAlign w:val="center"/>
          </w:tcPr>
          <w:p w14:paraId="09E415BD" w14:textId="77777777" w:rsidR="002B3025" w:rsidRPr="00DF5598" w:rsidRDefault="002B3025" w:rsidP="00B929BB">
            <w:pPr>
              <w:jc w:val="both"/>
              <w:rPr>
                <w:rFonts w:ascii="Verdana" w:hAnsi="Verdana" w:cs="Arial"/>
                <w:bCs/>
                <w:sz w:val="16"/>
                <w:szCs w:val="16"/>
              </w:rPr>
            </w:pPr>
          </w:p>
        </w:tc>
      </w:tr>
      <w:tr w:rsidR="002E3760" w:rsidRPr="002B3025" w14:paraId="01DDCA0D" w14:textId="77777777" w:rsidTr="00DF5598">
        <w:tc>
          <w:tcPr>
            <w:tcW w:w="567" w:type="dxa"/>
            <w:vMerge/>
            <w:vAlign w:val="center"/>
          </w:tcPr>
          <w:p w14:paraId="62673BE7" w14:textId="77777777" w:rsidR="002B3025" w:rsidRPr="00DF5598" w:rsidRDefault="002B3025" w:rsidP="00B929BB">
            <w:pPr>
              <w:jc w:val="both"/>
              <w:rPr>
                <w:rFonts w:ascii="Verdana" w:hAnsi="Verdana" w:cs="Arial"/>
                <w:bCs/>
                <w:sz w:val="16"/>
                <w:szCs w:val="16"/>
              </w:rPr>
            </w:pPr>
          </w:p>
        </w:tc>
        <w:tc>
          <w:tcPr>
            <w:tcW w:w="1843" w:type="dxa"/>
            <w:vMerge/>
            <w:vAlign w:val="center"/>
          </w:tcPr>
          <w:p w14:paraId="2D71F6CB" w14:textId="77777777" w:rsidR="002B3025" w:rsidRPr="00DF5598" w:rsidRDefault="002B3025" w:rsidP="00B929BB">
            <w:pPr>
              <w:jc w:val="both"/>
              <w:rPr>
                <w:rFonts w:ascii="Verdana" w:hAnsi="Verdana" w:cs="Arial"/>
                <w:bCs/>
                <w:sz w:val="16"/>
                <w:szCs w:val="16"/>
              </w:rPr>
            </w:pPr>
          </w:p>
        </w:tc>
        <w:tc>
          <w:tcPr>
            <w:tcW w:w="709" w:type="dxa"/>
            <w:vAlign w:val="center"/>
          </w:tcPr>
          <w:p w14:paraId="0815967A"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3.3</w:t>
            </w:r>
          </w:p>
        </w:tc>
        <w:tc>
          <w:tcPr>
            <w:tcW w:w="2186" w:type="dxa"/>
            <w:vAlign w:val="center"/>
          </w:tcPr>
          <w:p w14:paraId="3F3A79CC"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Servicios de tarjetas de crédito y/o débito</w:t>
            </w:r>
          </w:p>
        </w:tc>
        <w:tc>
          <w:tcPr>
            <w:tcW w:w="3455" w:type="dxa"/>
            <w:vMerge/>
            <w:vAlign w:val="center"/>
          </w:tcPr>
          <w:p w14:paraId="415F58C8" w14:textId="77777777" w:rsidR="002B3025" w:rsidRPr="00DF5598" w:rsidRDefault="002B3025" w:rsidP="00B929BB">
            <w:pPr>
              <w:jc w:val="both"/>
              <w:rPr>
                <w:rFonts w:ascii="Verdana" w:hAnsi="Verdana" w:cs="Arial"/>
                <w:bCs/>
                <w:sz w:val="16"/>
                <w:szCs w:val="16"/>
              </w:rPr>
            </w:pPr>
          </w:p>
        </w:tc>
      </w:tr>
      <w:tr w:rsidR="002E3760" w:rsidRPr="002B3025" w14:paraId="39A33391" w14:textId="77777777" w:rsidTr="00DF5598">
        <w:tc>
          <w:tcPr>
            <w:tcW w:w="567" w:type="dxa"/>
            <w:vMerge w:val="restart"/>
            <w:vAlign w:val="center"/>
          </w:tcPr>
          <w:p w14:paraId="349CFC96"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4</w:t>
            </w:r>
          </w:p>
        </w:tc>
        <w:tc>
          <w:tcPr>
            <w:tcW w:w="1843" w:type="dxa"/>
            <w:vMerge w:val="restart"/>
            <w:vAlign w:val="center"/>
          </w:tcPr>
          <w:p w14:paraId="0592D240"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Banca Comercial</w:t>
            </w:r>
          </w:p>
          <w:p w14:paraId="6C989DDD" w14:textId="77777777" w:rsidR="002B3025" w:rsidRPr="00DF5598" w:rsidRDefault="002B3025" w:rsidP="00B929BB">
            <w:pPr>
              <w:rPr>
                <w:rFonts w:ascii="Verdana" w:hAnsi="Verdana" w:cs="Arial"/>
                <w:bCs/>
                <w:sz w:val="16"/>
                <w:szCs w:val="16"/>
              </w:rPr>
            </w:pPr>
          </w:p>
        </w:tc>
        <w:tc>
          <w:tcPr>
            <w:tcW w:w="709" w:type="dxa"/>
            <w:vAlign w:val="center"/>
          </w:tcPr>
          <w:p w14:paraId="35ED2577"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4.1</w:t>
            </w:r>
          </w:p>
        </w:tc>
        <w:tc>
          <w:tcPr>
            <w:tcW w:w="2186" w:type="dxa"/>
            <w:vAlign w:val="center"/>
          </w:tcPr>
          <w:p w14:paraId="65C31B92"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Otorgamiento de créditos</w:t>
            </w:r>
          </w:p>
        </w:tc>
        <w:tc>
          <w:tcPr>
            <w:tcW w:w="3455" w:type="dxa"/>
            <w:vMerge w:val="restart"/>
            <w:vAlign w:val="center"/>
          </w:tcPr>
          <w:p w14:paraId="0905ABF9" w14:textId="64AF8169" w:rsidR="002B3025" w:rsidRPr="00DF5598" w:rsidRDefault="002B3025" w:rsidP="12B437D6">
            <w:pPr>
              <w:jc w:val="both"/>
              <w:rPr>
                <w:rFonts w:ascii="Verdana" w:hAnsi="Verdana" w:cs="Arial"/>
                <w:sz w:val="16"/>
                <w:szCs w:val="16"/>
              </w:rPr>
            </w:pPr>
            <w:r w:rsidRPr="00DF5598">
              <w:rPr>
                <w:rFonts w:ascii="Verdana" w:hAnsi="Verdana" w:cs="Arial"/>
                <w:sz w:val="16"/>
                <w:szCs w:val="16"/>
              </w:rPr>
              <w:t xml:space="preserve">Recepción de depósitos en cualquier modalidad. Otorgamiento de créditos en las modalidades de comercial, vivienda y en general cualquier clase de operación activa de crédito. Para la clasificación de las actividades en esta línea se debe tener en cuenta que la actividad de captación y colocación de recursos se circunscribe únicamente a personas jurídicas excepto microempresas. En los créditos de vivienda solamente se deben incluir los otorgados para financiar proyectos de construcción con independencia de si se otorgan a persona natural o jurídica. </w:t>
            </w:r>
          </w:p>
        </w:tc>
      </w:tr>
      <w:tr w:rsidR="002E3760" w:rsidRPr="002B3025" w14:paraId="2F4D43E0" w14:textId="77777777" w:rsidTr="00DF5598">
        <w:tc>
          <w:tcPr>
            <w:tcW w:w="567" w:type="dxa"/>
            <w:vMerge/>
            <w:vAlign w:val="center"/>
          </w:tcPr>
          <w:p w14:paraId="44FE1FC9" w14:textId="77777777" w:rsidR="002B3025" w:rsidRPr="00DF5598" w:rsidRDefault="002B3025" w:rsidP="00B929BB">
            <w:pPr>
              <w:rPr>
                <w:rFonts w:ascii="Verdana" w:hAnsi="Verdana" w:cs="Arial"/>
                <w:bCs/>
                <w:sz w:val="16"/>
                <w:szCs w:val="16"/>
              </w:rPr>
            </w:pPr>
          </w:p>
        </w:tc>
        <w:tc>
          <w:tcPr>
            <w:tcW w:w="1843" w:type="dxa"/>
            <w:vMerge/>
            <w:vAlign w:val="center"/>
          </w:tcPr>
          <w:p w14:paraId="64164140" w14:textId="77777777" w:rsidR="002B3025" w:rsidRPr="00DF5598" w:rsidRDefault="002B3025" w:rsidP="00B929BB">
            <w:pPr>
              <w:rPr>
                <w:rFonts w:ascii="Verdana" w:hAnsi="Verdana" w:cs="Arial"/>
                <w:bCs/>
                <w:sz w:val="16"/>
                <w:szCs w:val="16"/>
              </w:rPr>
            </w:pPr>
          </w:p>
        </w:tc>
        <w:tc>
          <w:tcPr>
            <w:tcW w:w="709" w:type="dxa"/>
            <w:vAlign w:val="center"/>
          </w:tcPr>
          <w:p w14:paraId="44D22F48"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4.2</w:t>
            </w:r>
          </w:p>
        </w:tc>
        <w:tc>
          <w:tcPr>
            <w:tcW w:w="2186" w:type="dxa"/>
            <w:vAlign w:val="center"/>
          </w:tcPr>
          <w:p w14:paraId="4E6CC0BC"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Recepción de depósitos</w:t>
            </w:r>
          </w:p>
        </w:tc>
        <w:tc>
          <w:tcPr>
            <w:tcW w:w="3455" w:type="dxa"/>
            <w:vMerge/>
            <w:vAlign w:val="center"/>
          </w:tcPr>
          <w:p w14:paraId="3D2AD57F" w14:textId="77777777" w:rsidR="002B3025" w:rsidRPr="00DF5598" w:rsidRDefault="002B3025" w:rsidP="00B929BB">
            <w:pPr>
              <w:rPr>
                <w:rFonts w:ascii="Verdana" w:hAnsi="Verdana" w:cs="Arial"/>
                <w:bCs/>
                <w:sz w:val="16"/>
                <w:szCs w:val="16"/>
              </w:rPr>
            </w:pPr>
          </w:p>
        </w:tc>
      </w:tr>
      <w:tr w:rsidR="002E3760" w:rsidRPr="002B3025" w14:paraId="59A4B4A9" w14:textId="77777777" w:rsidTr="00DF5598">
        <w:tc>
          <w:tcPr>
            <w:tcW w:w="567" w:type="dxa"/>
            <w:vMerge w:val="restart"/>
            <w:vAlign w:val="center"/>
          </w:tcPr>
          <w:p w14:paraId="4231C0F1"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5</w:t>
            </w:r>
          </w:p>
        </w:tc>
        <w:tc>
          <w:tcPr>
            <w:tcW w:w="1843" w:type="dxa"/>
            <w:vMerge w:val="restart"/>
            <w:vAlign w:val="center"/>
          </w:tcPr>
          <w:p w14:paraId="09C3ABDB"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Compensación, Liquidación y Registro</w:t>
            </w:r>
          </w:p>
        </w:tc>
        <w:tc>
          <w:tcPr>
            <w:tcW w:w="709" w:type="dxa"/>
            <w:vAlign w:val="center"/>
          </w:tcPr>
          <w:p w14:paraId="32A49CEB"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5.1</w:t>
            </w:r>
          </w:p>
        </w:tc>
        <w:tc>
          <w:tcPr>
            <w:tcW w:w="2186" w:type="dxa"/>
            <w:vAlign w:val="center"/>
          </w:tcPr>
          <w:p w14:paraId="7024AB3A"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Compensación, Pago y Liquidación de efectivo</w:t>
            </w:r>
          </w:p>
        </w:tc>
        <w:tc>
          <w:tcPr>
            <w:tcW w:w="3455" w:type="dxa"/>
            <w:vAlign w:val="center"/>
          </w:tcPr>
          <w:p w14:paraId="49C9B154"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Prestación de servicio de compensación como contraparte central de operaciones. Administración de sistemas de compensación y liquidación de operaciones. Administración de las garantías otorgadas para la compensación, pago y liquidación de operaciones. Administración de sistemas de pago de bajo y alto valor.</w:t>
            </w:r>
          </w:p>
        </w:tc>
      </w:tr>
      <w:tr w:rsidR="002E3760" w:rsidRPr="002B3025" w14:paraId="65A3645D" w14:textId="77777777" w:rsidTr="00DF5598">
        <w:tc>
          <w:tcPr>
            <w:tcW w:w="567" w:type="dxa"/>
            <w:vMerge/>
            <w:vAlign w:val="center"/>
          </w:tcPr>
          <w:p w14:paraId="1EB3ACBC" w14:textId="77777777" w:rsidR="002B3025" w:rsidRPr="00DF5598" w:rsidRDefault="002B3025" w:rsidP="00B929BB">
            <w:pPr>
              <w:jc w:val="both"/>
              <w:rPr>
                <w:rFonts w:ascii="Verdana" w:hAnsi="Verdana" w:cs="Arial"/>
                <w:bCs/>
                <w:sz w:val="16"/>
                <w:szCs w:val="16"/>
              </w:rPr>
            </w:pPr>
          </w:p>
        </w:tc>
        <w:tc>
          <w:tcPr>
            <w:tcW w:w="1843" w:type="dxa"/>
            <w:vMerge/>
            <w:vAlign w:val="center"/>
          </w:tcPr>
          <w:p w14:paraId="6DF66D01" w14:textId="77777777" w:rsidR="002B3025" w:rsidRPr="00DF5598" w:rsidRDefault="002B3025" w:rsidP="00B929BB">
            <w:pPr>
              <w:jc w:val="both"/>
              <w:rPr>
                <w:rFonts w:ascii="Verdana" w:hAnsi="Verdana" w:cs="Arial"/>
                <w:bCs/>
                <w:sz w:val="16"/>
                <w:szCs w:val="16"/>
              </w:rPr>
            </w:pPr>
          </w:p>
        </w:tc>
        <w:tc>
          <w:tcPr>
            <w:tcW w:w="709" w:type="dxa"/>
            <w:vAlign w:val="center"/>
          </w:tcPr>
          <w:p w14:paraId="21C0AEDC"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5.2</w:t>
            </w:r>
          </w:p>
        </w:tc>
        <w:tc>
          <w:tcPr>
            <w:tcW w:w="2186" w:type="dxa"/>
            <w:vAlign w:val="center"/>
          </w:tcPr>
          <w:p w14:paraId="7800EC2F"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Registro de Operaciones</w:t>
            </w:r>
          </w:p>
        </w:tc>
        <w:tc>
          <w:tcPr>
            <w:tcW w:w="3455" w:type="dxa"/>
            <w:vAlign w:val="center"/>
          </w:tcPr>
          <w:p w14:paraId="5671C51A"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 xml:space="preserve">Registro de operaciones realizadas por las bolsas de valores, agropecuarias y sistemas de negociación que no impliquen compensación y liquidación. </w:t>
            </w:r>
          </w:p>
        </w:tc>
      </w:tr>
      <w:tr w:rsidR="002E3760" w:rsidRPr="002B3025" w14:paraId="05AA38A5" w14:textId="77777777" w:rsidTr="00DF5598">
        <w:tc>
          <w:tcPr>
            <w:tcW w:w="567" w:type="dxa"/>
            <w:vMerge/>
            <w:vAlign w:val="center"/>
          </w:tcPr>
          <w:p w14:paraId="484E2F88" w14:textId="77777777" w:rsidR="002B3025" w:rsidRPr="00DF5598" w:rsidRDefault="002B3025" w:rsidP="00B929BB">
            <w:pPr>
              <w:jc w:val="both"/>
              <w:rPr>
                <w:rFonts w:ascii="Verdana" w:hAnsi="Verdana" w:cs="Arial"/>
                <w:bCs/>
                <w:sz w:val="16"/>
                <w:szCs w:val="16"/>
              </w:rPr>
            </w:pPr>
          </w:p>
        </w:tc>
        <w:tc>
          <w:tcPr>
            <w:tcW w:w="1843" w:type="dxa"/>
            <w:vMerge/>
            <w:vAlign w:val="center"/>
          </w:tcPr>
          <w:p w14:paraId="7A8255E2" w14:textId="77777777" w:rsidR="002B3025" w:rsidRPr="00DF5598" w:rsidRDefault="002B3025" w:rsidP="00B929BB">
            <w:pPr>
              <w:jc w:val="both"/>
              <w:rPr>
                <w:rFonts w:ascii="Verdana" w:hAnsi="Verdana" w:cs="Arial"/>
                <w:bCs/>
                <w:sz w:val="16"/>
                <w:szCs w:val="16"/>
              </w:rPr>
            </w:pPr>
          </w:p>
        </w:tc>
        <w:tc>
          <w:tcPr>
            <w:tcW w:w="709" w:type="dxa"/>
            <w:vAlign w:val="center"/>
          </w:tcPr>
          <w:p w14:paraId="7525CB5D"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5.3</w:t>
            </w:r>
          </w:p>
        </w:tc>
        <w:tc>
          <w:tcPr>
            <w:tcW w:w="2186" w:type="dxa"/>
            <w:vAlign w:val="center"/>
          </w:tcPr>
          <w:p w14:paraId="45F7B030"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Compensación, Pago y Liquidación de valores</w:t>
            </w:r>
          </w:p>
        </w:tc>
        <w:tc>
          <w:tcPr>
            <w:tcW w:w="3455" w:type="dxa"/>
            <w:vAlign w:val="center"/>
          </w:tcPr>
          <w:p w14:paraId="4A2EEF96"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Prestación de servicio de compensación como contraparte central de operaciones. Administración de sistemas de compensación y liquidación de operaciones. Administración de las garantías otorgadas para la compensación, pago y liquidación de operaciones.</w:t>
            </w:r>
          </w:p>
        </w:tc>
      </w:tr>
      <w:tr w:rsidR="002E3760" w:rsidRPr="002B3025" w14:paraId="3448533A" w14:textId="77777777" w:rsidTr="00DF5598">
        <w:tc>
          <w:tcPr>
            <w:tcW w:w="567" w:type="dxa"/>
            <w:vMerge/>
            <w:vAlign w:val="center"/>
          </w:tcPr>
          <w:p w14:paraId="6E4BBBAD" w14:textId="77777777" w:rsidR="002B3025" w:rsidRPr="00DF5598" w:rsidRDefault="002B3025" w:rsidP="00B929BB">
            <w:pPr>
              <w:jc w:val="both"/>
              <w:rPr>
                <w:rFonts w:ascii="Verdana" w:hAnsi="Verdana" w:cs="Arial"/>
                <w:bCs/>
                <w:sz w:val="16"/>
                <w:szCs w:val="16"/>
              </w:rPr>
            </w:pPr>
          </w:p>
        </w:tc>
        <w:tc>
          <w:tcPr>
            <w:tcW w:w="1843" w:type="dxa"/>
            <w:vMerge/>
            <w:vAlign w:val="center"/>
          </w:tcPr>
          <w:p w14:paraId="6A6BBC5A" w14:textId="77777777" w:rsidR="002B3025" w:rsidRPr="00DF5598" w:rsidRDefault="002B3025" w:rsidP="00B929BB">
            <w:pPr>
              <w:jc w:val="both"/>
              <w:rPr>
                <w:rFonts w:ascii="Verdana" w:hAnsi="Verdana" w:cs="Arial"/>
                <w:bCs/>
                <w:sz w:val="16"/>
                <w:szCs w:val="16"/>
              </w:rPr>
            </w:pPr>
          </w:p>
        </w:tc>
        <w:tc>
          <w:tcPr>
            <w:tcW w:w="709" w:type="dxa"/>
            <w:vAlign w:val="center"/>
          </w:tcPr>
          <w:p w14:paraId="4225C719"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5.4</w:t>
            </w:r>
          </w:p>
        </w:tc>
        <w:tc>
          <w:tcPr>
            <w:tcW w:w="2186" w:type="dxa"/>
            <w:vAlign w:val="center"/>
          </w:tcPr>
          <w:p w14:paraId="3E53F455"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Nómina</w:t>
            </w:r>
          </w:p>
        </w:tc>
        <w:tc>
          <w:tcPr>
            <w:tcW w:w="3455" w:type="dxa"/>
            <w:vAlign w:val="center"/>
          </w:tcPr>
          <w:p w14:paraId="35D12A16"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Prestación del servicio de pago y administración de nómina.</w:t>
            </w:r>
          </w:p>
        </w:tc>
      </w:tr>
      <w:tr w:rsidR="002E3760" w:rsidRPr="002B3025" w14:paraId="151629BE" w14:textId="77777777" w:rsidTr="00DF5598">
        <w:tc>
          <w:tcPr>
            <w:tcW w:w="567" w:type="dxa"/>
            <w:vMerge/>
            <w:vAlign w:val="center"/>
          </w:tcPr>
          <w:p w14:paraId="55ADAB9D" w14:textId="77777777" w:rsidR="002B3025" w:rsidRPr="00DF5598" w:rsidRDefault="002B3025" w:rsidP="00B929BB">
            <w:pPr>
              <w:jc w:val="both"/>
              <w:rPr>
                <w:rFonts w:ascii="Verdana" w:hAnsi="Verdana" w:cs="Arial"/>
                <w:bCs/>
                <w:sz w:val="16"/>
                <w:szCs w:val="16"/>
              </w:rPr>
            </w:pPr>
          </w:p>
        </w:tc>
        <w:tc>
          <w:tcPr>
            <w:tcW w:w="1843" w:type="dxa"/>
            <w:vMerge/>
            <w:vAlign w:val="center"/>
          </w:tcPr>
          <w:p w14:paraId="029D942F" w14:textId="77777777" w:rsidR="002B3025" w:rsidRPr="00DF5598" w:rsidRDefault="002B3025" w:rsidP="00B929BB">
            <w:pPr>
              <w:jc w:val="both"/>
              <w:rPr>
                <w:rFonts w:ascii="Verdana" w:hAnsi="Verdana" w:cs="Arial"/>
                <w:bCs/>
                <w:sz w:val="16"/>
                <w:szCs w:val="16"/>
              </w:rPr>
            </w:pPr>
          </w:p>
        </w:tc>
        <w:tc>
          <w:tcPr>
            <w:tcW w:w="709" w:type="dxa"/>
            <w:vAlign w:val="center"/>
          </w:tcPr>
          <w:p w14:paraId="724A82FF"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5.5</w:t>
            </w:r>
          </w:p>
        </w:tc>
        <w:tc>
          <w:tcPr>
            <w:tcW w:w="2186" w:type="dxa"/>
            <w:vAlign w:val="center"/>
          </w:tcPr>
          <w:p w14:paraId="2F906C1F"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Recepción de impuestos</w:t>
            </w:r>
          </w:p>
        </w:tc>
        <w:tc>
          <w:tcPr>
            <w:tcW w:w="3455" w:type="dxa"/>
            <w:vAlign w:val="center"/>
          </w:tcPr>
          <w:p w14:paraId="5290B900"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Prestación del servicio como agente de recaudo de impuestos y tributos del orden nacional o territorial.</w:t>
            </w:r>
          </w:p>
        </w:tc>
      </w:tr>
      <w:tr w:rsidR="002E3760" w:rsidRPr="002B3025" w14:paraId="4AD5A2C4" w14:textId="77777777" w:rsidTr="00DF5598">
        <w:tc>
          <w:tcPr>
            <w:tcW w:w="567" w:type="dxa"/>
            <w:vMerge/>
            <w:vAlign w:val="center"/>
          </w:tcPr>
          <w:p w14:paraId="0E4C115A" w14:textId="77777777" w:rsidR="002B3025" w:rsidRPr="00DF5598" w:rsidRDefault="002B3025" w:rsidP="00B929BB">
            <w:pPr>
              <w:jc w:val="both"/>
              <w:rPr>
                <w:rFonts w:ascii="Verdana" w:hAnsi="Verdana" w:cs="Arial"/>
                <w:bCs/>
                <w:sz w:val="16"/>
                <w:szCs w:val="16"/>
              </w:rPr>
            </w:pPr>
          </w:p>
        </w:tc>
        <w:tc>
          <w:tcPr>
            <w:tcW w:w="1843" w:type="dxa"/>
            <w:vMerge/>
            <w:vAlign w:val="center"/>
          </w:tcPr>
          <w:p w14:paraId="17426D6F" w14:textId="77777777" w:rsidR="002B3025" w:rsidRPr="00DF5598" w:rsidRDefault="002B3025" w:rsidP="00B929BB">
            <w:pPr>
              <w:jc w:val="both"/>
              <w:rPr>
                <w:rFonts w:ascii="Verdana" w:hAnsi="Verdana" w:cs="Arial"/>
                <w:bCs/>
                <w:sz w:val="16"/>
                <w:szCs w:val="16"/>
              </w:rPr>
            </w:pPr>
          </w:p>
        </w:tc>
        <w:tc>
          <w:tcPr>
            <w:tcW w:w="709" w:type="dxa"/>
            <w:vAlign w:val="center"/>
          </w:tcPr>
          <w:p w14:paraId="6A6CF697"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5.6</w:t>
            </w:r>
          </w:p>
        </w:tc>
        <w:tc>
          <w:tcPr>
            <w:tcW w:w="2186" w:type="dxa"/>
            <w:vAlign w:val="center"/>
          </w:tcPr>
          <w:p w14:paraId="713CF2B1"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Cobranza</w:t>
            </w:r>
          </w:p>
        </w:tc>
        <w:tc>
          <w:tcPr>
            <w:tcW w:w="3455" w:type="dxa"/>
            <w:vAlign w:val="center"/>
          </w:tcPr>
          <w:p w14:paraId="4A376976"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Prestación del servicio de cobranza a favor de la entidad o de terceros.</w:t>
            </w:r>
          </w:p>
        </w:tc>
      </w:tr>
      <w:tr w:rsidR="002E3760" w:rsidRPr="002B3025" w14:paraId="00400DB5" w14:textId="77777777" w:rsidTr="00DF5598">
        <w:tc>
          <w:tcPr>
            <w:tcW w:w="567" w:type="dxa"/>
            <w:vMerge w:val="restart"/>
            <w:vAlign w:val="center"/>
          </w:tcPr>
          <w:p w14:paraId="00D21D50"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6</w:t>
            </w:r>
          </w:p>
        </w:tc>
        <w:tc>
          <w:tcPr>
            <w:tcW w:w="1843" w:type="dxa"/>
            <w:vMerge w:val="restart"/>
            <w:vAlign w:val="center"/>
          </w:tcPr>
          <w:p w14:paraId="17BB2CF4"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Servicios de Agencia</w:t>
            </w:r>
          </w:p>
        </w:tc>
        <w:tc>
          <w:tcPr>
            <w:tcW w:w="709" w:type="dxa"/>
            <w:vAlign w:val="center"/>
          </w:tcPr>
          <w:p w14:paraId="02B84A89"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6.1</w:t>
            </w:r>
          </w:p>
        </w:tc>
        <w:tc>
          <w:tcPr>
            <w:tcW w:w="2186" w:type="dxa"/>
            <w:vAlign w:val="center"/>
          </w:tcPr>
          <w:p w14:paraId="73102A18"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Custodia</w:t>
            </w:r>
          </w:p>
        </w:tc>
        <w:tc>
          <w:tcPr>
            <w:tcW w:w="3455" w:type="dxa"/>
            <w:vAlign w:val="center"/>
          </w:tcPr>
          <w:p w14:paraId="4E2BC562"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 xml:space="preserve">Custodia y administración de instrumentos financieros por cuenta de clientes, incluidos el depósito y servicios conexos como la gestión de efectivo y de garantías reales. </w:t>
            </w:r>
          </w:p>
        </w:tc>
      </w:tr>
      <w:tr w:rsidR="002E3760" w:rsidRPr="002B3025" w14:paraId="4DBAF9F4" w14:textId="77777777" w:rsidTr="00DF5598">
        <w:tc>
          <w:tcPr>
            <w:tcW w:w="567" w:type="dxa"/>
            <w:vMerge/>
            <w:vAlign w:val="center"/>
          </w:tcPr>
          <w:p w14:paraId="345A88B6" w14:textId="77777777" w:rsidR="002B3025" w:rsidRPr="00DF5598" w:rsidRDefault="002B3025" w:rsidP="00B929BB">
            <w:pPr>
              <w:rPr>
                <w:rFonts w:ascii="Verdana" w:hAnsi="Verdana" w:cs="Arial"/>
                <w:bCs/>
                <w:sz w:val="16"/>
                <w:szCs w:val="16"/>
              </w:rPr>
            </w:pPr>
          </w:p>
        </w:tc>
        <w:tc>
          <w:tcPr>
            <w:tcW w:w="1843" w:type="dxa"/>
            <w:vMerge/>
            <w:vAlign w:val="center"/>
          </w:tcPr>
          <w:p w14:paraId="103B6B30" w14:textId="77777777" w:rsidR="002B3025" w:rsidRPr="00DF5598" w:rsidRDefault="002B3025" w:rsidP="00B929BB">
            <w:pPr>
              <w:rPr>
                <w:rFonts w:ascii="Verdana" w:hAnsi="Verdana" w:cs="Arial"/>
                <w:bCs/>
                <w:sz w:val="16"/>
                <w:szCs w:val="16"/>
              </w:rPr>
            </w:pPr>
          </w:p>
        </w:tc>
        <w:tc>
          <w:tcPr>
            <w:tcW w:w="709" w:type="dxa"/>
            <w:vAlign w:val="center"/>
          </w:tcPr>
          <w:p w14:paraId="528BD3B9"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6.2</w:t>
            </w:r>
          </w:p>
        </w:tc>
        <w:tc>
          <w:tcPr>
            <w:tcW w:w="2186" w:type="dxa"/>
            <w:vAlign w:val="center"/>
          </w:tcPr>
          <w:p w14:paraId="59463E64"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Agente de Transferencias</w:t>
            </w:r>
          </w:p>
        </w:tc>
        <w:tc>
          <w:tcPr>
            <w:tcW w:w="3455" w:type="dxa"/>
            <w:vAlign w:val="center"/>
          </w:tcPr>
          <w:p w14:paraId="76D46887"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Obrar como agente de transferencia.</w:t>
            </w:r>
          </w:p>
        </w:tc>
      </w:tr>
      <w:tr w:rsidR="002E3760" w:rsidRPr="002B3025" w14:paraId="43CDB927" w14:textId="77777777" w:rsidTr="00DF5598">
        <w:tc>
          <w:tcPr>
            <w:tcW w:w="567" w:type="dxa"/>
            <w:vMerge w:val="restart"/>
            <w:vAlign w:val="center"/>
          </w:tcPr>
          <w:p w14:paraId="1913E9AC"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7</w:t>
            </w:r>
          </w:p>
        </w:tc>
        <w:tc>
          <w:tcPr>
            <w:tcW w:w="1843" w:type="dxa"/>
            <w:vMerge w:val="restart"/>
            <w:vAlign w:val="center"/>
          </w:tcPr>
          <w:p w14:paraId="2BF831C5"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Administración de Activos</w:t>
            </w:r>
          </w:p>
        </w:tc>
        <w:tc>
          <w:tcPr>
            <w:tcW w:w="709" w:type="dxa"/>
            <w:vAlign w:val="center"/>
          </w:tcPr>
          <w:p w14:paraId="6B9A1493"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7.1</w:t>
            </w:r>
          </w:p>
        </w:tc>
        <w:tc>
          <w:tcPr>
            <w:tcW w:w="2186" w:type="dxa"/>
            <w:vAlign w:val="center"/>
          </w:tcPr>
          <w:p w14:paraId="11144C95"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Administración de fondos</w:t>
            </w:r>
          </w:p>
        </w:tc>
        <w:tc>
          <w:tcPr>
            <w:tcW w:w="3455" w:type="dxa"/>
            <w:vAlign w:val="center"/>
          </w:tcPr>
          <w:p w14:paraId="52CAA94C"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Administración de fondos y/o recursos distintos de los señalados en las líneas operativas números 8 a 12.</w:t>
            </w:r>
          </w:p>
        </w:tc>
      </w:tr>
      <w:tr w:rsidR="002E3760" w:rsidRPr="002B3025" w14:paraId="1633D2AA" w14:textId="77777777" w:rsidTr="00DF5598">
        <w:tc>
          <w:tcPr>
            <w:tcW w:w="567" w:type="dxa"/>
            <w:vMerge/>
            <w:vAlign w:val="center"/>
          </w:tcPr>
          <w:p w14:paraId="4644E043" w14:textId="77777777" w:rsidR="002B3025" w:rsidRPr="00DF5598" w:rsidRDefault="002B3025" w:rsidP="00B929BB">
            <w:pPr>
              <w:rPr>
                <w:rFonts w:ascii="Verdana" w:hAnsi="Verdana" w:cs="Arial"/>
                <w:bCs/>
                <w:sz w:val="16"/>
                <w:szCs w:val="16"/>
              </w:rPr>
            </w:pPr>
          </w:p>
        </w:tc>
        <w:tc>
          <w:tcPr>
            <w:tcW w:w="1843" w:type="dxa"/>
            <w:vMerge/>
            <w:vAlign w:val="center"/>
          </w:tcPr>
          <w:p w14:paraId="5B5C5509" w14:textId="77777777" w:rsidR="002B3025" w:rsidRPr="00DF5598" w:rsidRDefault="002B3025" w:rsidP="00B929BB">
            <w:pPr>
              <w:rPr>
                <w:rFonts w:ascii="Verdana" w:hAnsi="Verdana" w:cs="Arial"/>
                <w:bCs/>
                <w:sz w:val="16"/>
                <w:szCs w:val="16"/>
              </w:rPr>
            </w:pPr>
          </w:p>
        </w:tc>
        <w:tc>
          <w:tcPr>
            <w:tcW w:w="709" w:type="dxa"/>
            <w:vAlign w:val="center"/>
          </w:tcPr>
          <w:p w14:paraId="00372D4A"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7.2</w:t>
            </w:r>
          </w:p>
        </w:tc>
        <w:tc>
          <w:tcPr>
            <w:tcW w:w="2186" w:type="dxa"/>
            <w:vAlign w:val="center"/>
          </w:tcPr>
          <w:p w14:paraId="5FD11C63"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Almacenamiento de Activos</w:t>
            </w:r>
          </w:p>
        </w:tc>
        <w:tc>
          <w:tcPr>
            <w:tcW w:w="3455" w:type="dxa"/>
            <w:vAlign w:val="center"/>
          </w:tcPr>
          <w:p w14:paraId="743AFE1F"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 xml:space="preserve">Almacenamiento y administración general de mercancías de terceros en bodegas propias o particulares como consignatarios o como parte de la </w:t>
            </w:r>
            <w:r w:rsidRPr="00DF5598">
              <w:rPr>
                <w:rFonts w:ascii="Verdana" w:hAnsi="Verdana" w:cs="Arial"/>
                <w:bCs/>
                <w:sz w:val="16"/>
                <w:szCs w:val="16"/>
              </w:rPr>
              <w:lastRenderedPageBreak/>
              <w:t>prestación de un servicio. Expedición de certificados de depósito de mercancías y bonos de prenda.</w:t>
            </w:r>
          </w:p>
        </w:tc>
      </w:tr>
      <w:tr w:rsidR="002E3760" w:rsidRPr="002B3025" w14:paraId="0B3443BF" w14:textId="77777777" w:rsidTr="00DF5598">
        <w:tc>
          <w:tcPr>
            <w:tcW w:w="567" w:type="dxa"/>
            <w:vMerge w:val="restart"/>
            <w:vAlign w:val="center"/>
          </w:tcPr>
          <w:p w14:paraId="5D2590B5"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lastRenderedPageBreak/>
              <w:t>8</w:t>
            </w:r>
          </w:p>
        </w:tc>
        <w:tc>
          <w:tcPr>
            <w:tcW w:w="1843" w:type="dxa"/>
            <w:vMerge w:val="restart"/>
            <w:vAlign w:val="center"/>
          </w:tcPr>
          <w:p w14:paraId="052D5E80"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 xml:space="preserve">Negocios Fiduciarios de Inversión y Fondos Mutuos de Inversión </w:t>
            </w:r>
          </w:p>
        </w:tc>
        <w:tc>
          <w:tcPr>
            <w:tcW w:w="709" w:type="dxa"/>
            <w:vAlign w:val="center"/>
          </w:tcPr>
          <w:p w14:paraId="388F19CF"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8.1</w:t>
            </w:r>
          </w:p>
        </w:tc>
        <w:tc>
          <w:tcPr>
            <w:tcW w:w="2186" w:type="dxa"/>
            <w:vAlign w:val="center"/>
          </w:tcPr>
          <w:p w14:paraId="64DDF4B6" w14:textId="11D28EF7" w:rsidR="002B3025" w:rsidRPr="00DF5598" w:rsidRDefault="002B3025" w:rsidP="00B929BB">
            <w:pPr>
              <w:rPr>
                <w:rFonts w:ascii="Verdana" w:hAnsi="Verdana" w:cs="Arial"/>
                <w:bCs/>
                <w:sz w:val="16"/>
                <w:szCs w:val="16"/>
              </w:rPr>
            </w:pPr>
            <w:r w:rsidRPr="00DF5598">
              <w:rPr>
                <w:rFonts w:ascii="Verdana" w:hAnsi="Verdana" w:cs="Arial"/>
                <w:bCs/>
                <w:sz w:val="16"/>
                <w:szCs w:val="16"/>
              </w:rPr>
              <w:t>Inversión Colectiva</w:t>
            </w:r>
          </w:p>
        </w:tc>
        <w:tc>
          <w:tcPr>
            <w:tcW w:w="3455" w:type="dxa"/>
            <w:vMerge w:val="restart"/>
            <w:vAlign w:val="center"/>
          </w:tcPr>
          <w:p w14:paraId="3201D424" w14:textId="154D9466" w:rsidR="002B3025" w:rsidRPr="00DF5598" w:rsidRDefault="002B3025" w:rsidP="12B437D6">
            <w:pPr>
              <w:jc w:val="both"/>
              <w:rPr>
                <w:rFonts w:ascii="Verdana" w:hAnsi="Verdana" w:cs="Arial"/>
                <w:sz w:val="16"/>
                <w:szCs w:val="16"/>
              </w:rPr>
            </w:pPr>
            <w:r w:rsidRPr="00DF5598">
              <w:rPr>
                <w:rFonts w:ascii="Verdana" w:hAnsi="Verdana" w:cs="Arial"/>
                <w:sz w:val="16"/>
                <w:szCs w:val="16"/>
              </w:rPr>
              <w:t>Contratos fiduciarios que tienen como finalidad principal la inversión o colocación de los recursos fideicomitidos. Fondos mutuos de inversión administrados o no por una sociedad fiduciaria.</w:t>
            </w:r>
          </w:p>
        </w:tc>
      </w:tr>
      <w:tr w:rsidR="002E3760" w:rsidRPr="002B3025" w14:paraId="7A8E2CEE" w14:textId="77777777" w:rsidTr="00DF5598">
        <w:tc>
          <w:tcPr>
            <w:tcW w:w="567" w:type="dxa"/>
            <w:vMerge/>
            <w:vAlign w:val="center"/>
          </w:tcPr>
          <w:p w14:paraId="6F17A19E" w14:textId="77777777" w:rsidR="002B3025" w:rsidRPr="00DF5598" w:rsidRDefault="002B3025" w:rsidP="00B929BB">
            <w:pPr>
              <w:rPr>
                <w:rFonts w:ascii="Verdana" w:hAnsi="Verdana" w:cs="Arial"/>
                <w:bCs/>
                <w:sz w:val="16"/>
                <w:szCs w:val="16"/>
              </w:rPr>
            </w:pPr>
          </w:p>
        </w:tc>
        <w:tc>
          <w:tcPr>
            <w:tcW w:w="1843" w:type="dxa"/>
            <w:vMerge/>
            <w:vAlign w:val="center"/>
          </w:tcPr>
          <w:p w14:paraId="78A0232E" w14:textId="77777777" w:rsidR="002B3025" w:rsidRPr="00DF5598" w:rsidRDefault="002B3025" w:rsidP="00B929BB">
            <w:pPr>
              <w:rPr>
                <w:rFonts w:ascii="Verdana" w:hAnsi="Verdana" w:cs="Arial"/>
                <w:bCs/>
                <w:sz w:val="16"/>
                <w:szCs w:val="16"/>
              </w:rPr>
            </w:pPr>
          </w:p>
        </w:tc>
        <w:tc>
          <w:tcPr>
            <w:tcW w:w="709" w:type="dxa"/>
            <w:vAlign w:val="center"/>
          </w:tcPr>
          <w:p w14:paraId="3272946C"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8.2</w:t>
            </w:r>
          </w:p>
        </w:tc>
        <w:tc>
          <w:tcPr>
            <w:tcW w:w="2186" w:type="dxa"/>
            <w:vAlign w:val="center"/>
          </w:tcPr>
          <w:p w14:paraId="70B4BEAF"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Fideicomiso de Inversión con Destinación Específica</w:t>
            </w:r>
          </w:p>
        </w:tc>
        <w:tc>
          <w:tcPr>
            <w:tcW w:w="3455" w:type="dxa"/>
            <w:vMerge/>
            <w:vAlign w:val="center"/>
          </w:tcPr>
          <w:p w14:paraId="61043C67" w14:textId="77777777" w:rsidR="002B3025" w:rsidRPr="00DF5598" w:rsidRDefault="002B3025" w:rsidP="00B929BB">
            <w:pPr>
              <w:rPr>
                <w:rFonts w:ascii="Verdana" w:hAnsi="Verdana" w:cs="Arial"/>
                <w:bCs/>
                <w:sz w:val="16"/>
                <w:szCs w:val="16"/>
              </w:rPr>
            </w:pPr>
          </w:p>
        </w:tc>
      </w:tr>
      <w:tr w:rsidR="002E3760" w:rsidRPr="002B3025" w14:paraId="33247B1C" w14:textId="77777777" w:rsidTr="00DF5598">
        <w:tc>
          <w:tcPr>
            <w:tcW w:w="567" w:type="dxa"/>
            <w:vMerge/>
            <w:vAlign w:val="center"/>
          </w:tcPr>
          <w:p w14:paraId="3B5EADC8" w14:textId="77777777" w:rsidR="002B3025" w:rsidRPr="00DF5598" w:rsidRDefault="002B3025" w:rsidP="00B929BB">
            <w:pPr>
              <w:rPr>
                <w:rFonts w:ascii="Verdana" w:hAnsi="Verdana" w:cs="Arial"/>
                <w:bCs/>
                <w:sz w:val="16"/>
                <w:szCs w:val="16"/>
              </w:rPr>
            </w:pPr>
          </w:p>
        </w:tc>
        <w:tc>
          <w:tcPr>
            <w:tcW w:w="1843" w:type="dxa"/>
            <w:vMerge/>
            <w:vAlign w:val="center"/>
          </w:tcPr>
          <w:p w14:paraId="3A3DAD4B" w14:textId="77777777" w:rsidR="002B3025" w:rsidRPr="00DF5598" w:rsidRDefault="002B3025" w:rsidP="00B929BB">
            <w:pPr>
              <w:rPr>
                <w:rFonts w:ascii="Verdana" w:hAnsi="Verdana" w:cs="Arial"/>
                <w:bCs/>
                <w:sz w:val="16"/>
                <w:szCs w:val="16"/>
              </w:rPr>
            </w:pPr>
          </w:p>
        </w:tc>
        <w:tc>
          <w:tcPr>
            <w:tcW w:w="709" w:type="dxa"/>
            <w:vAlign w:val="center"/>
          </w:tcPr>
          <w:p w14:paraId="6B2DF5B4"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8.3</w:t>
            </w:r>
          </w:p>
        </w:tc>
        <w:tc>
          <w:tcPr>
            <w:tcW w:w="2186" w:type="dxa"/>
            <w:vAlign w:val="center"/>
          </w:tcPr>
          <w:p w14:paraId="5D37E3F7"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Fondos Mutuos de Inversión</w:t>
            </w:r>
          </w:p>
        </w:tc>
        <w:tc>
          <w:tcPr>
            <w:tcW w:w="3455" w:type="dxa"/>
            <w:vMerge/>
            <w:vAlign w:val="center"/>
          </w:tcPr>
          <w:p w14:paraId="44315206" w14:textId="77777777" w:rsidR="002B3025" w:rsidRPr="00DF5598" w:rsidRDefault="002B3025" w:rsidP="00B929BB">
            <w:pPr>
              <w:rPr>
                <w:rFonts w:ascii="Verdana" w:hAnsi="Verdana" w:cs="Arial"/>
                <w:bCs/>
                <w:sz w:val="16"/>
                <w:szCs w:val="16"/>
              </w:rPr>
            </w:pPr>
          </w:p>
        </w:tc>
      </w:tr>
      <w:tr w:rsidR="002E3760" w:rsidRPr="002B3025" w14:paraId="5E0033FF" w14:textId="77777777" w:rsidTr="00DF5598">
        <w:tc>
          <w:tcPr>
            <w:tcW w:w="567" w:type="dxa"/>
            <w:vMerge w:val="restart"/>
            <w:vAlign w:val="center"/>
          </w:tcPr>
          <w:p w14:paraId="1993AD3A"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9</w:t>
            </w:r>
          </w:p>
        </w:tc>
        <w:tc>
          <w:tcPr>
            <w:tcW w:w="1843" w:type="dxa"/>
            <w:vMerge w:val="restart"/>
            <w:vAlign w:val="center"/>
          </w:tcPr>
          <w:p w14:paraId="51694B8F"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Negocios Fiduciarios Inmobiliarios</w:t>
            </w:r>
          </w:p>
        </w:tc>
        <w:tc>
          <w:tcPr>
            <w:tcW w:w="709" w:type="dxa"/>
            <w:vAlign w:val="center"/>
          </w:tcPr>
          <w:p w14:paraId="4F847D59"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9.1</w:t>
            </w:r>
          </w:p>
        </w:tc>
        <w:tc>
          <w:tcPr>
            <w:tcW w:w="2186" w:type="dxa"/>
            <w:vAlign w:val="center"/>
          </w:tcPr>
          <w:p w14:paraId="28C9955A"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Administración y Pagos</w:t>
            </w:r>
          </w:p>
        </w:tc>
        <w:tc>
          <w:tcPr>
            <w:tcW w:w="3455" w:type="dxa"/>
            <w:vMerge w:val="restart"/>
            <w:vAlign w:val="center"/>
          </w:tcPr>
          <w:p w14:paraId="58736540"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Contratos fiduciarios cuya finalidad principal es la administración de recursos y bienes afectos a un proyecto inmobiliario o la administración de los recursos asociados al desarrollo y ejecución de dicho proyecto. Recaudo de los dineros provenientes de la promoción y consecución de interesados en adquirir inmuebles dentro de un proyecto inmobiliario.</w:t>
            </w:r>
          </w:p>
        </w:tc>
      </w:tr>
      <w:tr w:rsidR="002E3760" w:rsidRPr="002B3025" w14:paraId="67DB7168" w14:textId="77777777" w:rsidTr="00DF5598">
        <w:tc>
          <w:tcPr>
            <w:tcW w:w="567" w:type="dxa"/>
            <w:vMerge/>
            <w:vAlign w:val="center"/>
          </w:tcPr>
          <w:p w14:paraId="48D79F1E" w14:textId="77777777" w:rsidR="002B3025" w:rsidRPr="00DF5598" w:rsidRDefault="002B3025" w:rsidP="00B929BB">
            <w:pPr>
              <w:rPr>
                <w:rFonts w:ascii="Verdana" w:hAnsi="Verdana" w:cs="Arial"/>
                <w:bCs/>
                <w:sz w:val="16"/>
                <w:szCs w:val="16"/>
              </w:rPr>
            </w:pPr>
          </w:p>
        </w:tc>
        <w:tc>
          <w:tcPr>
            <w:tcW w:w="1843" w:type="dxa"/>
            <w:vMerge/>
            <w:vAlign w:val="center"/>
          </w:tcPr>
          <w:p w14:paraId="130027CE" w14:textId="77777777" w:rsidR="002B3025" w:rsidRPr="00DF5598" w:rsidRDefault="002B3025" w:rsidP="00B929BB">
            <w:pPr>
              <w:rPr>
                <w:rFonts w:ascii="Verdana" w:hAnsi="Verdana" w:cs="Arial"/>
                <w:bCs/>
                <w:sz w:val="16"/>
                <w:szCs w:val="16"/>
              </w:rPr>
            </w:pPr>
          </w:p>
        </w:tc>
        <w:tc>
          <w:tcPr>
            <w:tcW w:w="709" w:type="dxa"/>
            <w:vAlign w:val="center"/>
          </w:tcPr>
          <w:p w14:paraId="0803BE84"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9.2</w:t>
            </w:r>
          </w:p>
        </w:tc>
        <w:tc>
          <w:tcPr>
            <w:tcW w:w="2186" w:type="dxa"/>
            <w:vAlign w:val="center"/>
          </w:tcPr>
          <w:p w14:paraId="12B075AB"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Tesorería</w:t>
            </w:r>
          </w:p>
        </w:tc>
        <w:tc>
          <w:tcPr>
            <w:tcW w:w="3455" w:type="dxa"/>
            <w:vMerge/>
            <w:vAlign w:val="center"/>
          </w:tcPr>
          <w:p w14:paraId="169EDEF1" w14:textId="77777777" w:rsidR="002B3025" w:rsidRPr="00DF5598" w:rsidRDefault="002B3025" w:rsidP="00B929BB">
            <w:pPr>
              <w:rPr>
                <w:rFonts w:ascii="Verdana" w:hAnsi="Verdana" w:cs="Arial"/>
                <w:bCs/>
                <w:sz w:val="16"/>
                <w:szCs w:val="16"/>
              </w:rPr>
            </w:pPr>
          </w:p>
        </w:tc>
      </w:tr>
      <w:tr w:rsidR="002E3760" w:rsidRPr="002B3025" w14:paraId="7C860C57" w14:textId="77777777" w:rsidTr="00DF5598">
        <w:tc>
          <w:tcPr>
            <w:tcW w:w="567" w:type="dxa"/>
            <w:vMerge/>
            <w:vAlign w:val="center"/>
          </w:tcPr>
          <w:p w14:paraId="689A82E9" w14:textId="77777777" w:rsidR="002B3025" w:rsidRPr="00DF5598" w:rsidRDefault="002B3025" w:rsidP="00B929BB">
            <w:pPr>
              <w:rPr>
                <w:rFonts w:ascii="Verdana" w:hAnsi="Verdana" w:cs="Arial"/>
                <w:bCs/>
                <w:sz w:val="16"/>
                <w:szCs w:val="16"/>
              </w:rPr>
            </w:pPr>
          </w:p>
        </w:tc>
        <w:tc>
          <w:tcPr>
            <w:tcW w:w="1843" w:type="dxa"/>
            <w:vMerge/>
            <w:vAlign w:val="center"/>
          </w:tcPr>
          <w:p w14:paraId="0A9D2693" w14:textId="77777777" w:rsidR="002B3025" w:rsidRPr="00DF5598" w:rsidRDefault="002B3025" w:rsidP="00B929BB">
            <w:pPr>
              <w:rPr>
                <w:rFonts w:ascii="Verdana" w:hAnsi="Verdana" w:cs="Arial"/>
                <w:bCs/>
                <w:sz w:val="16"/>
                <w:szCs w:val="16"/>
              </w:rPr>
            </w:pPr>
          </w:p>
        </w:tc>
        <w:tc>
          <w:tcPr>
            <w:tcW w:w="709" w:type="dxa"/>
            <w:vAlign w:val="center"/>
          </w:tcPr>
          <w:p w14:paraId="49DD8787" w14:textId="77777777" w:rsidR="002B3025" w:rsidRPr="00DF5598" w:rsidRDefault="002B3025" w:rsidP="00B929BB">
            <w:pPr>
              <w:jc w:val="center"/>
              <w:rPr>
                <w:rFonts w:ascii="Verdana" w:hAnsi="Verdana" w:cs="Arial"/>
                <w:bCs/>
                <w:sz w:val="16"/>
                <w:szCs w:val="16"/>
              </w:rPr>
            </w:pPr>
            <w:r w:rsidRPr="00DF5598">
              <w:rPr>
                <w:rFonts w:ascii="Verdana" w:hAnsi="Verdana" w:cs="Arial"/>
                <w:bCs/>
                <w:noProof/>
                <w:sz w:val="16"/>
                <w:szCs w:val="16"/>
                <w:lang w:val="es-ES"/>
              </w:rPr>
              <mc:AlternateContent>
                <mc:Choice Requires="wps">
                  <w:drawing>
                    <wp:anchor distT="0" distB="0" distL="114300" distR="114300" simplePos="0" relativeHeight="251658241" behindDoc="0" locked="0" layoutInCell="1" allowOverlap="1" wp14:anchorId="17F11BFC" wp14:editId="17CB4666">
                      <wp:simplePos x="0" y="0"/>
                      <wp:positionH relativeFrom="column">
                        <wp:posOffset>944245</wp:posOffset>
                      </wp:positionH>
                      <wp:positionV relativeFrom="paragraph">
                        <wp:posOffset>29937075</wp:posOffset>
                      </wp:positionV>
                      <wp:extent cx="26670" cy="9062085"/>
                      <wp:effectExtent l="0" t="0" r="30480" b="24765"/>
                      <wp:wrapNone/>
                      <wp:docPr id="176" name="Conector recto 176"/>
                      <wp:cNvGraphicFramePr/>
                      <a:graphic xmlns:a="http://schemas.openxmlformats.org/drawingml/2006/main">
                        <a:graphicData uri="http://schemas.microsoft.com/office/word/2010/wordprocessingShape">
                          <wps:wsp>
                            <wps:cNvCnPr/>
                            <wps:spPr>
                              <a:xfrm>
                                <a:off x="0" y="0"/>
                                <a:ext cx="26670" cy="90620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292535D7">
                    <v:line id="Conector recto 17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5pt" from="74.35pt,2357.25pt" to="76.45pt,3070.8pt" w14:anchorId="3309A0F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">
                      <v:stroke joinstyle="miter"/>
                    </v:line>
                  </w:pict>
                </mc:Fallback>
              </mc:AlternateContent>
            </w:r>
            <w:r w:rsidRPr="00DF5598">
              <w:rPr>
                <w:rFonts w:ascii="Verdana" w:hAnsi="Verdana" w:cs="Arial"/>
                <w:bCs/>
                <w:sz w:val="16"/>
                <w:szCs w:val="16"/>
              </w:rPr>
              <w:t>9.3</w:t>
            </w:r>
          </w:p>
        </w:tc>
        <w:tc>
          <w:tcPr>
            <w:tcW w:w="2186" w:type="dxa"/>
            <w:vAlign w:val="center"/>
          </w:tcPr>
          <w:p w14:paraId="52A533BD"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 xml:space="preserve">Preventas </w:t>
            </w:r>
          </w:p>
        </w:tc>
        <w:tc>
          <w:tcPr>
            <w:tcW w:w="3455" w:type="dxa"/>
            <w:vMerge/>
            <w:vAlign w:val="center"/>
          </w:tcPr>
          <w:p w14:paraId="26BEB081" w14:textId="77777777" w:rsidR="002B3025" w:rsidRPr="00DF5598" w:rsidRDefault="002B3025" w:rsidP="00B929BB">
            <w:pPr>
              <w:rPr>
                <w:rFonts w:ascii="Verdana" w:hAnsi="Verdana" w:cs="Arial"/>
                <w:bCs/>
                <w:sz w:val="16"/>
                <w:szCs w:val="16"/>
              </w:rPr>
            </w:pPr>
          </w:p>
        </w:tc>
      </w:tr>
      <w:tr w:rsidR="002E3760" w:rsidRPr="002B3025" w14:paraId="7099B1A5" w14:textId="77777777" w:rsidTr="00DF5598">
        <w:tc>
          <w:tcPr>
            <w:tcW w:w="567" w:type="dxa"/>
            <w:vMerge w:val="restart"/>
            <w:vAlign w:val="center"/>
          </w:tcPr>
          <w:p w14:paraId="3D9470BF"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10</w:t>
            </w:r>
          </w:p>
        </w:tc>
        <w:tc>
          <w:tcPr>
            <w:tcW w:w="1843" w:type="dxa"/>
            <w:vMerge w:val="restart"/>
            <w:vAlign w:val="center"/>
          </w:tcPr>
          <w:p w14:paraId="02B63512"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Negocios Fiduciarios de Administración</w:t>
            </w:r>
          </w:p>
        </w:tc>
        <w:tc>
          <w:tcPr>
            <w:tcW w:w="709" w:type="dxa"/>
            <w:vAlign w:val="center"/>
          </w:tcPr>
          <w:p w14:paraId="231E9350"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10.1</w:t>
            </w:r>
          </w:p>
        </w:tc>
        <w:tc>
          <w:tcPr>
            <w:tcW w:w="2186" w:type="dxa"/>
            <w:vAlign w:val="center"/>
          </w:tcPr>
          <w:p w14:paraId="67061823"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Administración y Pagos</w:t>
            </w:r>
          </w:p>
        </w:tc>
        <w:tc>
          <w:tcPr>
            <w:tcW w:w="3455" w:type="dxa"/>
            <w:vMerge w:val="restart"/>
            <w:vAlign w:val="center"/>
          </w:tcPr>
          <w:p w14:paraId="6FD8F0C5"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Contratos fiduciarios de administración cuya finalidad es la entrega de bienes a una sociedad fiduciaria para que los administre y desarrolle la gestión encomendada por el constituyente y destine los rendimientos al cumplimiento de la finalidad señalada.</w:t>
            </w:r>
          </w:p>
        </w:tc>
      </w:tr>
      <w:tr w:rsidR="002E3760" w:rsidRPr="002B3025" w14:paraId="6B9A1B15" w14:textId="77777777" w:rsidTr="00DF5598">
        <w:tc>
          <w:tcPr>
            <w:tcW w:w="567" w:type="dxa"/>
            <w:vMerge/>
            <w:vAlign w:val="center"/>
          </w:tcPr>
          <w:p w14:paraId="5340FF5A" w14:textId="77777777" w:rsidR="002B3025" w:rsidRPr="00DF5598" w:rsidRDefault="002B3025" w:rsidP="00B929BB">
            <w:pPr>
              <w:rPr>
                <w:rFonts w:ascii="Verdana" w:hAnsi="Verdana" w:cs="Arial"/>
                <w:bCs/>
                <w:sz w:val="16"/>
                <w:szCs w:val="16"/>
              </w:rPr>
            </w:pPr>
          </w:p>
        </w:tc>
        <w:tc>
          <w:tcPr>
            <w:tcW w:w="1843" w:type="dxa"/>
            <w:vMerge/>
            <w:vAlign w:val="center"/>
          </w:tcPr>
          <w:p w14:paraId="7F90F5A2" w14:textId="77777777" w:rsidR="002B3025" w:rsidRPr="00DF5598" w:rsidRDefault="002B3025" w:rsidP="00B929BB">
            <w:pPr>
              <w:rPr>
                <w:rFonts w:ascii="Verdana" w:hAnsi="Verdana" w:cs="Arial"/>
                <w:bCs/>
                <w:sz w:val="16"/>
                <w:szCs w:val="16"/>
              </w:rPr>
            </w:pPr>
          </w:p>
        </w:tc>
        <w:tc>
          <w:tcPr>
            <w:tcW w:w="709" w:type="dxa"/>
            <w:vAlign w:val="center"/>
          </w:tcPr>
          <w:p w14:paraId="772C552A"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10.2</w:t>
            </w:r>
          </w:p>
        </w:tc>
        <w:tc>
          <w:tcPr>
            <w:tcW w:w="2186" w:type="dxa"/>
            <w:vAlign w:val="center"/>
          </w:tcPr>
          <w:p w14:paraId="7ACC1C46"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Patrimonios derivados de Procesos de Titularización</w:t>
            </w:r>
          </w:p>
        </w:tc>
        <w:tc>
          <w:tcPr>
            <w:tcW w:w="3455" w:type="dxa"/>
            <w:vMerge/>
            <w:vAlign w:val="center"/>
          </w:tcPr>
          <w:p w14:paraId="0365988D" w14:textId="77777777" w:rsidR="002B3025" w:rsidRPr="00DF5598" w:rsidRDefault="002B3025" w:rsidP="00B929BB">
            <w:pPr>
              <w:rPr>
                <w:rFonts w:ascii="Verdana" w:hAnsi="Verdana" w:cs="Arial"/>
                <w:bCs/>
                <w:sz w:val="16"/>
                <w:szCs w:val="16"/>
              </w:rPr>
            </w:pPr>
          </w:p>
        </w:tc>
      </w:tr>
      <w:tr w:rsidR="002E3760" w:rsidRPr="002B3025" w14:paraId="7200821E" w14:textId="77777777" w:rsidTr="00DF5598">
        <w:tc>
          <w:tcPr>
            <w:tcW w:w="567" w:type="dxa"/>
            <w:vMerge/>
            <w:vAlign w:val="center"/>
          </w:tcPr>
          <w:p w14:paraId="120DE7DF" w14:textId="77777777" w:rsidR="002B3025" w:rsidRPr="00DF5598" w:rsidRDefault="002B3025" w:rsidP="00B929BB">
            <w:pPr>
              <w:rPr>
                <w:rFonts w:ascii="Verdana" w:hAnsi="Verdana" w:cs="Arial"/>
                <w:bCs/>
                <w:sz w:val="16"/>
                <w:szCs w:val="16"/>
              </w:rPr>
            </w:pPr>
          </w:p>
        </w:tc>
        <w:tc>
          <w:tcPr>
            <w:tcW w:w="1843" w:type="dxa"/>
            <w:vMerge/>
            <w:vAlign w:val="center"/>
          </w:tcPr>
          <w:p w14:paraId="3A851793" w14:textId="77777777" w:rsidR="002B3025" w:rsidRPr="00DF5598" w:rsidRDefault="002B3025" w:rsidP="00B929BB">
            <w:pPr>
              <w:rPr>
                <w:rFonts w:ascii="Verdana" w:hAnsi="Verdana" w:cs="Arial"/>
                <w:bCs/>
                <w:sz w:val="16"/>
                <w:szCs w:val="16"/>
              </w:rPr>
            </w:pPr>
          </w:p>
        </w:tc>
        <w:tc>
          <w:tcPr>
            <w:tcW w:w="709" w:type="dxa"/>
            <w:vAlign w:val="center"/>
          </w:tcPr>
          <w:p w14:paraId="1EE639C5"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10.3</w:t>
            </w:r>
          </w:p>
        </w:tc>
        <w:tc>
          <w:tcPr>
            <w:tcW w:w="2186" w:type="dxa"/>
            <w:vAlign w:val="center"/>
          </w:tcPr>
          <w:p w14:paraId="01430C78"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Administración de cartera</w:t>
            </w:r>
          </w:p>
        </w:tc>
        <w:tc>
          <w:tcPr>
            <w:tcW w:w="3455" w:type="dxa"/>
            <w:vMerge/>
            <w:vAlign w:val="center"/>
          </w:tcPr>
          <w:p w14:paraId="0441F92A" w14:textId="77777777" w:rsidR="002B3025" w:rsidRPr="00DF5598" w:rsidRDefault="002B3025" w:rsidP="00B929BB">
            <w:pPr>
              <w:rPr>
                <w:rFonts w:ascii="Verdana" w:hAnsi="Verdana" w:cs="Arial"/>
                <w:bCs/>
                <w:sz w:val="16"/>
                <w:szCs w:val="16"/>
              </w:rPr>
            </w:pPr>
          </w:p>
        </w:tc>
      </w:tr>
      <w:tr w:rsidR="002E3760" w:rsidRPr="002B3025" w14:paraId="73003085" w14:textId="77777777" w:rsidTr="00DF5598">
        <w:tc>
          <w:tcPr>
            <w:tcW w:w="567" w:type="dxa"/>
            <w:vMerge/>
            <w:vAlign w:val="center"/>
          </w:tcPr>
          <w:p w14:paraId="188CB7A3" w14:textId="77777777" w:rsidR="002B3025" w:rsidRPr="00DF5598" w:rsidRDefault="002B3025" w:rsidP="00B929BB">
            <w:pPr>
              <w:rPr>
                <w:rFonts w:ascii="Verdana" w:hAnsi="Verdana" w:cs="Arial"/>
                <w:bCs/>
                <w:sz w:val="16"/>
                <w:szCs w:val="16"/>
              </w:rPr>
            </w:pPr>
          </w:p>
        </w:tc>
        <w:tc>
          <w:tcPr>
            <w:tcW w:w="1843" w:type="dxa"/>
            <w:vMerge/>
            <w:vAlign w:val="center"/>
          </w:tcPr>
          <w:p w14:paraId="696DB0AB" w14:textId="77777777" w:rsidR="002B3025" w:rsidRPr="00DF5598" w:rsidRDefault="002B3025" w:rsidP="00B929BB">
            <w:pPr>
              <w:rPr>
                <w:rFonts w:ascii="Verdana" w:hAnsi="Verdana" w:cs="Arial"/>
                <w:bCs/>
                <w:sz w:val="16"/>
                <w:szCs w:val="16"/>
              </w:rPr>
            </w:pPr>
          </w:p>
        </w:tc>
        <w:tc>
          <w:tcPr>
            <w:tcW w:w="709" w:type="dxa"/>
            <w:vAlign w:val="center"/>
          </w:tcPr>
          <w:p w14:paraId="301F82C3"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10.4</w:t>
            </w:r>
          </w:p>
        </w:tc>
        <w:tc>
          <w:tcPr>
            <w:tcW w:w="2186" w:type="dxa"/>
            <w:vAlign w:val="center"/>
          </w:tcPr>
          <w:p w14:paraId="43E8493B"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Acuerdos de Reestructuración</w:t>
            </w:r>
          </w:p>
        </w:tc>
        <w:tc>
          <w:tcPr>
            <w:tcW w:w="3455" w:type="dxa"/>
            <w:vMerge/>
            <w:vAlign w:val="center"/>
          </w:tcPr>
          <w:p w14:paraId="414E46D5" w14:textId="77777777" w:rsidR="002B3025" w:rsidRPr="00DF5598" w:rsidRDefault="002B3025" w:rsidP="00B929BB">
            <w:pPr>
              <w:rPr>
                <w:rFonts w:ascii="Verdana" w:hAnsi="Verdana" w:cs="Arial"/>
                <w:bCs/>
                <w:sz w:val="16"/>
                <w:szCs w:val="16"/>
              </w:rPr>
            </w:pPr>
          </w:p>
        </w:tc>
      </w:tr>
      <w:tr w:rsidR="002E3760" w:rsidRPr="002B3025" w14:paraId="0AE431E5" w14:textId="77777777" w:rsidTr="00DF5598">
        <w:tc>
          <w:tcPr>
            <w:tcW w:w="567" w:type="dxa"/>
            <w:vMerge w:val="restart"/>
            <w:vAlign w:val="center"/>
          </w:tcPr>
          <w:p w14:paraId="695241AB"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11</w:t>
            </w:r>
          </w:p>
        </w:tc>
        <w:tc>
          <w:tcPr>
            <w:tcW w:w="1843" w:type="dxa"/>
            <w:vMerge w:val="restart"/>
            <w:vAlign w:val="center"/>
          </w:tcPr>
          <w:p w14:paraId="13AE37EE"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Negocios Fiduciarios en Garantía</w:t>
            </w:r>
          </w:p>
        </w:tc>
        <w:tc>
          <w:tcPr>
            <w:tcW w:w="709" w:type="dxa"/>
            <w:vAlign w:val="center"/>
          </w:tcPr>
          <w:p w14:paraId="1DA47423"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11.1</w:t>
            </w:r>
          </w:p>
        </w:tc>
        <w:tc>
          <w:tcPr>
            <w:tcW w:w="2186" w:type="dxa"/>
            <w:vAlign w:val="center"/>
          </w:tcPr>
          <w:p w14:paraId="490831EA"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 xml:space="preserve">Fiducia en Garantía </w:t>
            </w:r>
          </w:p>
        </w:tc>
        <w:tc>
          <w:tcPr>
            <w:tcW w:w="3455" w:type="dxa"/>
            <w:vMerge w:val="restart"/>
            <w:vAlign w:val="center"/>
          </w:tcPr>
          <w:p w14:paraId="5A6FB79F" w14:textId="7C8D3D1A" w:rsidR="002B3025" w:rsidRPr="00DF5598" w:rsidRDefault="002B3025" w:rsidP="12B437D6">
            <w:pPr>
              <w:jc w:val="both"/>
              <w:rPr>
                <w:rFonts w:ascii="Verdana" w:hAnsi="Verdana" w:cs="Arial"/>
                <w:sz w:val="16"/>
                <w:szCs w:val="16"/>
              </w:rPr>
            </w:pPr>
            <w:r w:rsidRPr="00DF5598">
              <w:rPr>
                <w:rFonts w:ascii="Verdana" w:hAnsi="Verdana" w:cs="Arial"/>
                <w:sz w:val="16"/>
                <w:szCs w:val="16"/>
              </w:rPr>
              <w:t>Contratos fiduciarios en virtud de los cuales una persona transfiere bienes o recursos con la finalidad de garantizar el cumplimiento de obligaciones propias o de terceros.</w:t>
            </w:r>
          </w:p>
        </w:tc>
      </w:tr>
      <w:tr w:rsidR="002E3760" w:rsidRPr="002B3025" w14:paraId="0E7382A5" w14:textId="77777777" w:rsidTr="00DF5598">
        <w:tc>
          <w:tcPr>
            <w:tcW w:w="567" w:type="dxa"/>
            <w:vMerge/>
            <w:vAlign w:val="center"/>
          </w:tcPr>
          <w:p w14:paraId="6F5ADD94" w14:textId="77777777" w:rsidR="002B3025" w:rsidRPr="00DF5598" w:rsidRDefault="002B3025" w:rsidP="00B929BB">
            <w:pPr>
              <w:rPr>
                <w:rFonts w:ascii="Verdana" w:hAnsi="Verdana" w:cs="Arial"/>
                <w:bCs/>
                <w:sz w:val="16"/>
                <w:szCs w:val="16"/>
              </w:rPr>
            </w:pPr>
          </w:p>
        </w:tc>
        <w:tc>
          <w:tcPr>
            <w:tcW w:w="1843" w:type="dxa"/>
            <w:vMerge/>
            <w:vAlign w:val="center"/>
          </w:tcPr>
          <w:p w14:paraId="0BF36A3C" w14:textId="77777777" w:rsidR="002B3025" w:rsidRPr="00DF5598" w:rsidRDefault="002B3025" w:rsidP="00B929BB">
            <w:pPr>
              <w:rPr>
                <w:rFonts w:ascii="Verdana" w:hAnsi="Verdana" w:cs="Arial"/>
                <w:bCs/>
                <w:sz w:val="16"/>
                <w:szCs w:val="16"/>
              </w:rPr>
            </w:pPr>
          </w:p>
        </w:tc>
        <w:tc>
          <w:tcPr>
            <w:tcW w:w="709" w:type="dxa"/>
            <w:vAlign w:val="center"/>
          </w:tcPr>
          <w:p w14:paraId="143F2FD4"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11.2</w:t>
            </w:r>
          </w:p>
        </w:tc>
        <w:tc>
          <w:tcPr>
            <w:tcW w:w="2186" w:type="dxa"/>
            <w:vAlign w:val="center"/>
          </w:tcPr>
          <w:p w14:paraId="571A9C0D"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 xml:space="preserve">Fiducia en Garantía y Fuente de Pago </w:t>
            </w:r>
          </w:p>
        </w:tc>
        <w:tc>
          <w:tcPr>
            <w:tcW w:w="3455" w:type="dxa"/>
            <w:vMerge/>
            <w:vAlign w:val="center"/>
          </w:tcPr>
          <w:p w14:paraId="32E175DE" w14:textId="77777777" w:rsidR="002B3025" w:rsidRPr="00DF5598" w:rsidRDefault="002B3025" w:rsidP="00B929BB">
            <w:pPr>
              <w:rPr>
                <w:rFonts w:ascii="Verdana" w:hAnsi="Verdana" w:cs="Arial"/>
                <w:bCs/>
                <w:sz w:val="16"/>
                <w:szCs w:val="16"/>
              </w:rPr>
            </w:pPr>
          </w:p>
        </w:tc>
      </w:tr>
      <w:tr w:rsidR="002E3760" w:rsidRPr="002B3025" w14:paraId="193E9AFF" w14:textId="77777777" w:rsidTr="00DF5598">
        <w:tc>
          <w:tcPr>
            <w:tcW w:w="567" w:type="dxa"/>
            <w:vMerge w:val="restart"/>
            <w:vAlign w:val="center"/>
          </w:tcPr>
          <w:p w14:paraId="0067A1E0"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12</w:t>
            </w:r>
          </w:p>
        </w:tc>
        <w:tc>
          <w:tcPr>
            <w:tcW w:w="1843" w:type="dxa"/>
            <w:vMerge w:val="restart"/>
            <w:vAlign w:val="center"/>
          </w:tcPr>
          <w:p w14:paraId="22B9CF1D"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Seguridad Social y Cesantías</w:t>
            </w:r>
          </w:p>
        </w:tc>
        <w:tc>
          <w:tcPr>
            <w:tcW w:w="709" w:type="dxa"/>
            <w:vAlign w:val="center"/>
          </w:tcPr>
          <w:p w14:paraId="4D4B62FA"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12.1</w:t>
            </w:r>
          </w:p>
        </w:tc>
        <w:tc>
          <w:tcPr>
            <w:tcW w:w="2186" w:type="dxa"/>
            <w:vAlign w:val="center"/>
          </w:tcPr>
          <w:p w14:paraId="6020F812"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Administración de recursos del régimen de ahorro individual con solidaridad.</w:t>
            </w:r>
          </w:p>
        </w:tc>
        <w:tc>
          <w:tcPr>
            <w:tcW w:w="3455" w:type="dxa"/>
            <w:vMerge w:val="restart"/>
            <w:vAlign w:val="center"/>
          </w:tcPr>
          <w:p w14:paraId="6BD9AFEA"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Administración de fondos, pasivos o recursos relacionados con el sistema de seguridad social integral excepto aquellos relacionados con riesgos laborales. Administración de cesantías. Administración de fondos de pensiones voluntarias.</w:t>
            </w:r>
          </w:p>
        </w:tc>
      </w:tr>
      <w:tr w:rsidR="002E3760" w:rsidRPr="002B3025" w14:paraId="2BB9086A" w14:textId="77777777" w:rsidTr="00DF5598">
        <w:tc>
          <w:tcPr>
            <w:tcW w:w="567" w:type="dxa"/>
            <w:vMerge/>
            <w:vAlign w:val="center"/>
          </w:tcPr>
          <w:p w14:paraId="11CCED33" w14:textId="77777777" w:rsidR="002B3025" w:rsidRPr="00DF5598" w:rsidRDefault="002B3025" w:rsidP="00B929BB">
            <w:pPr>
              <w:rPr>
                <w:rFonts w:ascii="Verdana" w:hAnsi="Verdana" w:cs="Arial"/>
                <w:bCs/>
                <w:sz w:val="16"/>
                <w:szCs w:val="16"/>
              </w:rPr>
            </w:pPr>
          </w:p>
        </w:tc>
        <w:tc>
          <w:tcPr>
            <w:tcW w:w="1843" w:type="dxa"/>
            <w:vMerge/>
            <w:vAlign w:val="center"/>
          </w:tcPr>
          <w:p w14:paraId="7DB478B8" w14:textId="77777777" w:rsidR="002B3025" w:rsidRPr="00DF5598" w:rsidRDefault="002B3025" w:rsidP="00B929BB">
            <w:pPr>
              <w:rPr>
                <w:rFonts w:ascii="Verdana" w:hAnsi="Verdana" w:cs="Arial"/>
                <w:bCs/>
                <w:sz w:val="16"/>
                <w:szCs w:val="16"/>
              </w:rPr>
            </w:pPr>
          </w:p>
        </w:tc>
        <w:tc>
          <w:tcPr>
            <w:tcW w:w="709" w:type="dxa"/>
            <w:vAlign w:val="center"/>
          </w:tcPr>
          <w:p w14:paraId="0F8817B8"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12.2</w:t>
            </w:r>
          </w:p>
        </w:tc>
        <w:tc>
          <w:tcPr>
            <w:tcW w:w="2186" w:type="dxa"/>
            <w:vAlign w:val="center"/>
          </w:tcPr>
          <w:p w14:paraId="73029E78"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Administración de Recursos del Régimen de Prima Media con Prestación Definida.</w:t>
            </w:r>
          </w:p>
        </w:tc>
        <w:tc>
          <w:tcPr>
            <w:tcW w:w="3455" w:type="dxa"/>
            <w:vMerge/>
            <w:vAlign w:val="center"/>
          </w:tcPr>
          <w:p w14:paraId="46865D60" w14:textId="77777777" w:rsidR="002B3025" w:rsidRPr="00DF5598" w:rsidRDefault="002B3025" w:rsidP="00B929BB">
            <w:pPr>
              <w:rPr>
                <w:rFonts w:ascii="Verdana" w:hAnsi="Verdana" w:cs="Arial"/>
                <w:bCs/>
                <w:sz w:val="16"/>
                <w:szCs w:val="16"/>
              </w:rPr>
            </w:pPr>
          </w:p>
        </w:tc>
      </w:tr>
      <w:tr w:rsidR="002E3760" w:rsidRPr="002B3025" w14:paraId="63D39CF4" w14:textId="77777777" w:rsidTr="00DF5598">
        <w:tc>
          <w:tcPr>
            <w:tcW w:w="567" w:type="dxa"/>
            <w:vMerge/>
            <w:vAlign w:val="center"/>
          </w:tcPr>
          <w:p w14:paraId="74848A7E" w14:textId="77777777" w:rsidR="002B3025" w:rsidRPr="00DF5598" w:rsidRDefault="002B3025" w:rsidP="00B929BB">
            <w:pPr>
              <w:rPr>
                <w:rFonts w:ascii="Verdana" w:hAnsi="Verdana" w:cs="Arial"/>
                <w:bCs/>
                <w:sz w:val="16"/>
                <w:szCs w:val="16"/>
              </w:rPr>
            </w:pPr>
          </w:p>
        </w:tc>
        <w:tc>
          <w:tcPr>
            <w:tcW w:w="1843" w:type="dxa"/>
            <w:vMerge/>
            <w:vAlign w:val="center"/>
          </w:tcPr>
          <w:p w14:paraId="1BC208A0" w14:textId="77777777" w:rsidR="002B3025" w:rsidRPr="00DF5598" w:rsidRDefault="002B3025" w:rsidP="00B929BB">
            <w:pPr>
              <w:rPr>
                <w:rFonts w:ascii="Verdana" w:hAnsi="Verdana" w:cs="Arial"/>
                <w:bCs/>
                <w:sz w:val="16"/>
                <w:szCs w:val="16"/>
              </w:rPr>
            </w:pPr>
          </w:p>
        </w:tc>
        <w:tc>
          <w:tcPr>
            <w:tcW w:w="709" w:type="dxa"/>
            <w:vAlign w:val="center"/>
          </w:tcPr>
          <w:p w14:paraId="7DD1978C"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12.3</w:t>
            </w:r>
          </w:p>
        </w:tc>
        <w:tc>
          <w:tcPr>
            <w:tcW w:w="2186" w:type="dxa"/>
            <w:vAlign w:val="center"/>
          </w:tcPr>
          <w:p w14:paraId="6CAFC341"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Administración de Pasivos Pensionales</w:t>
            </w:r>
          </w:p>
        </w:tc>
        <w:tc>
          <w:tcPr>
            <w:tcW w:w="3455" w:type="dxa"/>
            <w:vMerge/>
            <w:vAlign w:val="center"/>
          </w:tcPr>
          <w:p w14:paraId="2DE275F2" w14:textId="77777777" w:rsidR="002B3025" w:rsidRPr="00DF5598" w:rsidRDefault="002B3025" w:rsidP="00B929BB">
            <w:pPr>
              <w:rPr>
                <w:rFonts w:ascii="Verdana" w:hAnsi="Verdana" w:cs="Arial"/>
                <w:bCs/>
                <w:sz w:val="16"/>
                <w:szCs w:val="16"/>
              </w:rPr>
            </w:pPr>
          </w:p>
        </w:tc>
      </w:tr>
      <w:tr w:rsidR="002E3760" w:rsidRPr="002B3025" w14:paraId="18CD558A" w14:textId="77777777" w:rsidTr="00DF5598">
        <w:tc>
          <w:tcPr>
            <w:tcW w:w="567" w:type="dxa"/>
            <w:vMerge/>
            <w:vAlign w:val="center"/>
          </w:tcPr>
          <w:p w14:paraId="483926E4" w14:textId="77777777" w:rsidR="002B3025" w:rsidRPr="00DF5598" w:rsidRDefault="002B3025" w:rsidP="00B929BB">
            <w:pPr>
              <w:rPr>
                <w:rFonts w:ascii="Verdana" w:hAnsi="Verdana" w:cs="Arial"/>
                <w:bCs/>
                <w:sz w:val="16"/>
                <w:szCs w:val="16"/>
              </w:rPr>
            </w:pPr>
          </w:p>
        </w:tc>
        <w:tc>
          <w:tcPr>
            <w:tcW w:w="1843" w:type="dxa"/>
            <w:vMerge/>
            <w:vAlign w:val="center"/>
          </w:tcPr>
          <w:p w14:paraId="5395C208" w14:textId="77777777" w:rsidR="002B3025" w:rsidRPr="00DF5598" w:rsidRDefault="002B3025" w:rsidP="00B929BB">
            <w:pPr>
              <w:rPr>
                <w:rFonts w:ascii="Verdana" w:hAnsi="Verdana" w:cs="Arial"/>
                <w:bCs/>
                <w:sz w:val="16"/>
                <w:szCs w:val="16"/>
              </w:rPr>
            </w:pPr>
          </w:p>
        </w:tc>
        <w:tc>
          <w:tcPr>
            <w:tcW w:w="709" w:type="dxa"/>
            <w:vAlign w:val="center"/>
          </w:tcPr>
          <w:p w14:paraId="33419881"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12.4</w:t>
            </w:r>
          </w:p>
        </w:tc>
        <w:tc>
          <w:tcPr>
            <w:tcW w:w="2186" w:type="dxa"/>
            <w:vAlign w:val="center"/>
          </w:tcPr>
          <w:p w14:paraId="76846068"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Administración de Fondos de Jubilación e Invalidez - Fondos Voluntarios</w:t>
            </w:r>
          </w:p>
        </w:tc>
        <w:tc>
          <w:tcPr>
            <w:tcW w:w="3455" w:type="dxa"/>
            <w:vMerge/>
            <w:vAlign w:val="center"/>
          </w:tcPr>
          <w:p w14:paraId="4F7363ED" w14:textId="77777777" w:rsidR="002B3025" w:rsidRPr="00DF5598" w:rsidRDefault="002B3025" w:rsidP="00B929BB">
            <w:pPr>
              <w:rPr>
                <w:rFonts w:ascii="Verdana" w:hAnsi="Verdana" w:cs="Arial"/>
                <w:bCs/>
                <w:sz w:val="16"/>
                <w:szCs w:val="16"/>
              </w:rPr>
            </w:pPr>
          </w:p>
        </w:tc>
      </w:tr>
      <w:tr w:rsidR="002E3760" w:rsidRPr="002B3025" w14:paraId="263954EC" w14:textId="77777777" w:rsidTr="00DF5598">
        <w:tc>
          <w:tcPr>
            <w:tcW w:w="567" w:type="dxa"/>
            <w:vMerge/>
            <w:vAlign w:val="center"/>
          </w:tcPr>
          <w:p w14:paraId="18574BD4" w14:textId="77777777" w:rsidR="002B3025" w:rsidRPr="00DF5598" w:rsidRDefault="002B3025" w:rsidP="00B929BB">
            <w:pPr>
              <w:rPr>
                <w:rFonts w:ascii="Verdana" w:hAnsi="Verdana" w:cs="Arial"/>
                <w:bCs/>
                <w:sz w:val="16"/>
                <w:szCs w:val="16"/>
              </w:rPr>
            </w:pPr>
          </w:p>
        </w:tc>
        <w:tc>
          <w:tcPr>
            <w:tcW w:w="1843" w:type="dxa"/>
            <w:vMerge/>
            <w:vAlign w:val="center"/>
          </w:tcPr>
          <w:p w14:paraId="6804BC6F" w14:textId="77777777" w:rsidR="002B3025" w:rsidRPr="00DF5598" w:rsidRDefault="002B3025" w:rsidP="00B929BB">
            <w:pPr>
              <w:rPr>
                <w:rFonts w:ascii="Verdana" w:hAnsi="Verdana" w:cs="Arial"/>
                <w:bCs/>
                <w:sz w:val="16"/>
                <w:szCs w:val="16"/>
              </w:rPr>
            </w:pPr>
          </w:p>
        </w:tc>
        <w:tc>
          <w:tcPr>
            <w:tcW w:w="709" w:type="dxa"/>
            <w:vAlign w:val="center"/>
          </w:tcPr>
          <w:p w14:paraId="18BDE5EA"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12.5</w:t>
            </w:r>
          </w:p>
        </w:tc>
        <w:tc>
          <w:tcPr>
            <w:tcW w:w="2186" w:type="dxa"/>
            <w:vAlign w:val="center"/>
          </w:tcPr>
          <w:p w14:paraId="4829F196"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Administración de Cesantías</w:t>
            </w:r>
          </w:p>
        </w:tc>
        <w:tc>
          <w:tcPr>
            <w:tcW w:w="3455" w:type="dxa"/>
            <w:vMerge/>
            <w:vAlign w:val="center"/>
          </w:tcPr>
          <w:p w14:paraId="0C25EE72" w14:textId="77777777" w:rsidR="002B3025" w:rsidRPr="00DF5598" w:rsidRDefault="002B3025" w:rsidP="00B929BB">
            <w:pPr>
              <w:rPr>
                <w:rFonts w:ascii="Verdana" w:hAnsi="Verdana" w:cs="Arial"/>
                <w:bCs/>
                <w:sz w:val="16"/>
                <w:szCs w:val="16"/>
              </w:rPr>
            </w:pPr>
          </w:p>
        </w:tc>
      </w:tr>
      <w:tr w:rsidR="002E3760" w:rsidRPr="002B3025" w14:paraId="40049824" w14:textId="77777777" w:rsidTr="00DF5598">
        <w:tc>
          <w:tcPr>
            <w:tcW w:w="567" w:type="dxa"/>
            <w:vMerge/>
            <w:vAlign w:val="center"/>
          </w:tcPr>
          <w:p w14:paraId="007B9C7B" w14:textId="77777777" w:rsidR="002B3025" w:rsidRPr="00DF5598" w:rsidRDefault="002B3025" w:rsidP="00B929BB">
            <w:pPr>
              <w:rPr>
                <w:rFonts w:ascii="Verdana" w:hAnsi="Verdana" w:cs="Arial"/>
                <w:bCs/>
                <w:sz w:val="16"/>
                <w:szCs w:val="16"/>
              </w:rPr>
            </w:pPr>
          </w:p>
        </w:tc>
        <w:tc>
          <w:tcPr>
            <w:tcW w:w="1843" w:type="dxa"/>
            <w:vMerge/>
            <w:vAlign w:val="center"/>
          </w:tcPr>
          <w:p w14:paraId="212EDDBF" w14:textId="77777777" w:rsidR="002B3025" w:rsidRPr="00DF5598" w:rsidRDefault="002B3025" w:rsidP="00B929BB">
            <w:pPr>
              <w:rPr>
                <w:rFonts w:ascii="Verdana" w:hAnsi="Verdana" w:cs="Arial"/>
                <w:bCs/>
                <w:sz w:val="16"/>
                <w:szCs w:val="16"/>
              </w:rPr>
            </w:pPr>
          </w:p>
        </w:tc>
        <w:tc>
          <w:tcPr>
            <w:tcW w:w="709" w:type="dxa"/>
            <w:vAlign w:val="center"/>
          </w:tcPr>
          <w:p w14:paraId="1DFDB1AC"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12.6</w:t>
            </w:r>
          </w:p>
        </w:tc>
        <w:tc>
          <w:tcPr>
            <w:tcW w:w="2186" w:type="dxa"/>
            <w:vAlign w:val="center"/>
          </w:tcPr>
          <w:p w14:paraId="2895C4D4"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Administración de otros recursos del Sistema de Seguridad Social Integral.</w:t>
            </w:r>
          </w:p>
        </w:tc>
        <w:tc>
          <w:tcPr>
            <w:tcW w:w="3455" w:type="dxa"/>
            <w:vMerge/>
            <w:vAlign w:val="center"/>
          </w:tcPr>
          <w:p w14:paraId="14ACB0BA" w14:textId="77777777" w:rsidR="002B3025" w:rsidRPr="00DF5598" w:rsidRDefault="002B3025" w:rsidP="00B929BB">
            <w:pPr>
              <w:rPr>
                <w:rFonts w:ascii="Verdana" w:hAnsi="Verdana" w:cs="Arial"/>
                <w:bCs/>
                <w:sz w:val="16"/>
                <w:szCs w:val="16"/>
              </w:rPr>
            </w:pPr>
          </w:p>
        </w:tc>
      </w:tr>
      <w:tr w:rsidR="002E3760" w:rsidRPr="002B3025" w14:paraId="0FFA7437" w14:textId="77777777" w:rsidTr="00DF5598">
        <w:tc>
          <w:tcPr>
            <w:tcW w:w="567" w:type="dxa"/>
            <w:vMerge w:val="restart"/>
            <w:vAlign w:val="center"/>
          </w:tcPr>
          <w:p w14:paraId="0B4D60A1"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13</w:t>
            </w:r>
          </w:p>
        </w:tc>
        <w:tc>
          <w:tcPr>
            <w:tcW w:w="1843" w:type="dxa"/>
            <w:vMerge w:val="restart"/>
            <w:vAlign w:val="center"/>
          </w:tcPr>
          <w:p w14:paraId="3280BD7B"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Comisión y Corretaje</w:t>
            </w:r>
          </w:p>
        </w:tc>
        <w:tc>
          <w:tcPr>
            <w:tcW w:w="709" w:type="dxa"/>
            <w:vAlign w:val="center"/>
          </w:tcPr>
          <w:p w14:paraId="0FF1EBFB"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13.1</w:t>
            </w:r>
          </w:p>
        </w:tc>
        <w:tc>
          <w:tcPr>
            <w:tcW w:w="2186" w:type="dxa"/>
            <w:vAlign w:val="center"/>
          </w:tcPr>
          <w:p w14:paraId="4EF6BCEC"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Comisión por intermediación de Valores</w:t>
            </w:r>
          </w:p>
        </w:tc>
        <w:tc>
          <w:tcPr>
            <w:tcW w:w="3455" w:type="dxa"/>
            <w:vMerge w:val="restart"/>
            <w:vAlign w:val="center"/>
          </w:tcPr>
          <w:p w14:paraId="6ABA812C" w14:textId="6BBB1805" w:rsidR="002B3025" w:rsidRPr="00DF5598" w:rsidRDefault="002B3025" w:rsidP="12B437D6">
            <w:pPr>
              <w:jc w:val="both"/>
              <w:rPr>
                <w:rFonts w:ascii="Verdana" w:hAnsi="Verdana" w:cs="Arial"/>
                <w:sz w:val="16"/>
                <w:szCs w:val="16"/>
              </w:rPr>
            </w:pPr>
            <w:r w:rsidRPr="00DF5598">
              <w:rPr>
                <w:rFonts w:ascii="Verdana" w:hAnsi="Verdana" w:cs="Arial"/>
                <w:sz w:val="16"/>
                <w:szCs w:val="16"/>
              </w:rPr>
              <w:t xml:space="preserve">Intermediación para la negociación de valores u operaciones de derivados con subyacente en valores, con </w:t>
            </w:r>
            <w:r w:rsidRPr="00DF5598">
              <w:rPr>
                <w:rFonts w:ascii="Verdana" w:hAnsi="Verdana" w:cs="Arial"/>
                <w:sz w:val="16"/>
                <w:szCs w:val="16"/>
              </w:rPr>
              <w:lastRenderedPageBreak/>
              <w:t xml:space="preserve">independencia de sus características. Valores adquiridos en desarrollo de contratos de </w:t>
            </w:r>
            <w:r w:rsidRPr="00DF5598">
              <w:rPr>
                <w:rFonts w:ascii="Verdana" w:hAnsi="Verdana" w:cs="Arial"/>
                <w:i/>
                <w:iCs/>
                <w:sz w:val="16"/>
                <w:szCs w:val="16"/>
              </w:rPr>
              <w:t>underwriting</w:t>
            </w:r>
            <w:r w:rsidRPr="00DF5598">
              <w:rPr>
                <w:rFonts w:ascii="Verdana" w:hAnsi="Verdana" w:cs="Arial"/>
                <w:sz w:val="16"/>
                <w:szCs w:val="16"/>
              </w:rPr>
              <w:t>. Recepción y transmisión de órdenes de clientes en relación con uno o más instrumentos financieros. Ejecución de órdenes en nombre de clientes.  Actividad de intermediación de seguros, reaseguros y de capitalización.</w:t>
            </w:r>
          </w:p>
        </w:tc>
      </w:tr>
      <w:tr w:rsidR="002E3760" w:rsidRPr="002B3025" w14:paraId="1C6777AB" w14:textId="77777777" w:rsidTr="00DF5598">
        <w:tc>
          <w:tcPr>
            <w:tcW w:w="567" w:type="dxa"/>
            <w:vMerge/>
            <w:vAlign w:val="center"/>
          </w:tcPr>
          <w:p w14:paraId="164925CB" w14:textId="77777777" w:rsidR="002B3025" w:rsidRPr="00DF5598" w:rsidRDefault="002B3025" w:rsidP="00B929BB">
            <w:pPr>
              <w:rPr>
                <w:rFonts w:ascii="Verdana" w:hAnsi="Verdana" w:cs="Arial"/>
                <w:bCs/>
                <w:sz w:val="16"/>
                <w:szCs w:val="16"/>
              </w:rPr>
            </w:pPr>
          </w:p>
        </w:tc>
        <w:tc>
          <w:tcPr>
            <w:tcW w:w="1843" w:type="dxa"/>
            <w:vMerge/>
            <w:vAlign w:val="center"/>
          </w:tcPr>
          <w:p w14:paraId="0F3B9EFC" w14:textId="77777777" w:rsidR="002B3025" w:rsidRPr="00DF5598" w:rsidRDefault="002B3025" w:rsidP="00B929BB">
            <w:pPr>
              <w:rPr>
                <w:rFonts w:ascii="Verdana" w:hAnsi="Verdana" w:cs="Arial"/>
                <w:bCs/>
                <w:sz w:val="16"/>
                <w:szCs w:val="16"/>
              </w:rPr>
            </w:pPr>
          </w:p>
        </w:tc>
        <w:tc>
          <w:tcPr>
            <w:tcW w:w="709" w:type="dxa"/>
            <w:vAlign w:val="center"/>
          </w:tcPr>
          <w:p w14:paraId="7D4EF2E6"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13.2</w:t>
            </w:r>
          </w:p>
        </w:tc>
        <w:tc>
          <w:tcPr>
            <w:tcW w:w="2186" w:type="dxa"/>
            <w:vAlign w:val="center"/>
          </w:tcPr>
          <w:p w14:paraId="58C95B16"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Corretaje por intermediación de Valores</w:t>
            </w:r>
          </w:p>
        </w:tc>
        <w:tc>
          <w:tcPr>
            <w:tcW w:w="3455" w:type="dxa"/>
            <w:vMerge/>
            <w:vAlign w:val="center"/>
          </w:tcPr>
          <w:p w14:paraId="3FB84CCF" w14:textId="77777777" w:rsidR="002B3025" w:rsidRPr="00DF5598" w:rsidRDefault="002B3025" w:rsidP="00B929BB">
            <w:pPr>
              <w:rPr>
                <w:rFonts w:ascii="Verdana" w:hAnsi="Verdana" w:cs="Arial"/>
                <w:bCs/>
                <w:sz w:val="16"/>
                <w:szCs w:val="16"/>
              </w:rPr>
            </w:pPr>
          </w:p>
        </w:tc>
      </w:tr>
      <w:tr w:rsidR="002E3760" w:rsidRPr="002B3025" w14:paraId="47726545" w14:textId="77777777" w:rsidTr="00DF5598">
        <w:tc>
          <w:tcPr>
            <w:tcW w:w="567" w:type="dxa"/>
            <w:vMerge/>
            <w:vAlign w:val="center"/>
          </w:tcPr>
          <w:p w14:paraId="4866A620" w14:textId="77777777" w:rsidR="002B3025" w:rsidRPr="00DF5598" w:rsidRDefault="002B3025" w:rsidP="00B929BB">
            <w:pPr>
              <w:rPr>
                <w:rFonts w:ascii="Verdana" w:hAnsi="Verdana" w:cs="Arial"/>
                <w:bCs/>
                <w:sz w:val="16"/>
                <w:szCs w:val="16"/>
              </w:rPr>
            </w:pPr>
          </w:p>
        </w:tc>
        <w:tc>
          <w:tcPr>
            <w:tcW w:w="1843" w:type="dxa"/>
            <w:vMerge/>
            <w:vAlign w:val="center"/>
          </w:tcPr>
          <w:p w14:paraId="24FFECA6" w14:textId="77777777" w:rsidR="002B3025" w:rsidRPr="00DF5598" w:rsidRDefault="002B3025" w:rsidP="00B929BB">
            <w:pPr>
              <w:rPr>
                <w:rFonts w:ascii="Verdana" w:hAnsi="Verdana" w:cs="Arial"/>
                <w:bCs/>
                <w:sz w:val="16"/>
                <w:szCs w:val="16"/>
              </w:rPr>
            </w:pPr>
          </w:p>
        </w:tc>
        <w:tc>
          <w:tcPr>
            <w:tcW w:w="709" w:type="dxa"/>
            <w:vAlign w:val="center"/>
          </w:tcPr>
          <w:p w14:paraId="092659AD"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13.3</w:t>
            </w:r>
          </w:p>
        </w:tc>
        <w:tc>
          <w:tcPr>
            <w:tcW w:w="2186" w:type="dxa"/>
            <w:vAlign w:val="center"/>
          </w:tcPr>
          <w:p w14:paraId="1F4AEC42"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Comisión por intermediación de Seguros</w:t>
            </w:r>
          </w:p>
        </w:tc>
        <w:tc>
          <w:tcPr>
            <w:tcW w:w="3455" w:type="dxa"/>
            <w:vMerge/>
            <w:vAlign w:val="center"/>
          </w:tcPr>
          <w:p w14:paraId="1856727A" w14:textId="77777777" w:rsidR="002B3025" w:rsidRPr="00DF5598" w:rsidRDefault="002B3025" w:rsidP="00B929BB">
            <w:pPr>
              <w:rPr>
                <w:rFonts w:ascii="Verdana" w:hAnsi="Verdana" w:cs="Arial"/>
                <w:bCs/>
                <w:sz w:val="16"/>
                <w:szCs w:val="16"/>
              </w:rPr>
            </w:pPr>
          </w:p>
        </w:tc>
      </w:tr>
      <w:tr w:rsidR="002E3760" w:rsidRPr="002B3025" w14:paraId="2E1F7816" w14:textId="77777777" w:rsidTr="00DF5598">
        <w:tc>
          <w:tcPr>
            <w:tcW w:w="567" w:type="dxa"/>
            <w:vMerge/>
            <w:vAlign w:val="center"/>
          </w:tcPr>
          <w:p w14:paraId="0AA3F5B1" w14:textId="77777777" w:rsidR="002B3025" w:rsidRPr="00DF5598" w:rsidRDefault="002B3025" w:rsidP="00B929BB">
            <w:pPr>
              <w:rPr>
                <w:rFonts w:ascii="Verdana" w:hAnsi="Verdana" w:cs="Arial"/>
                <w:bCs/>
                <w:sz w:val="16"/>
                <w:szCs w:val="16"/>
              </w:rPr>
            </w:pPr>
          </w:p>
        </w:tc>
        <w:tc>
          <w:tcPr>
            <w:tcW w:w="1843" w:type="dxa"/>
            <w:vMerge/>
            <w:vAlign w:val="center"/>
          </w:tcPr>
          <w:p w14:paraId="4F1530CF" w14:textId="77777777" w:rsidR="002B3025" w:rsidRPr="00DF5598" w:rsidRDefault="002B3025" w:rsidP="00B929BB">
            <w:pPr>
              <w:rPr>
                <w:rFonts w:ascii="Verdana" w:hAnsi="Verdana" w:cs="Arial"/>
                <w:bCs/>
                <w:sz w:val="16"/>
                <w:szCs w:val="16"/>
              </w:rPr>
            </w:pPr>
          </w:p>
        </w:tc>
        <w:tc>
          <w:tcPr>
            <w:tcW w:w="709" w:type="dxa"/>
            <w:vAlign w:val="center"/>
          </w:tcPr>
          <w:p w14:paraId="7AFE6729"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13.4</w:t>
            </w:r>
          </w:p>
        </w:tc>
        <w:tc>
          <w:tcPr>
            <w:tcW w:w="2186" w:type="dxa"/>
            <w:vAlign w:val="center"/>
          </w:tcPr>
          <w:p w14:paraId="0CC89AAA"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Comisión por intermediación de Reaseguros</w:t>
            </w:r>
          </w:p>
        </w:tc>
        <w:tc>
          <w:tcPr>
            <w:tcW w:w="3455" w:type="dxa"/>
            <w:vMerge/>
            <w:vAlign w:val="center"/>
          </w:tcPr>
          <w:p w14:paraId="06E22E86" w14:textId="77777777" w:rsidR="002B3025" w:rsidRPr="00DF5598" w:rsidRDefault="002B3025" w:rsidP="00B929BB">
            <w:pPr>
              <w:rPr>
                <w:rFonts w:ascii="Verdana" w:hAnsi="Verdana" w:cs="Arial"/>
                <w:bCs/>
                <w:sz w:val="16"/>
                <w:szCs w:val="16"/>
              </w:rPr>
            </w:pPr>
          </w:p>
        </w:tc>
      </w:tr>
      <w:tr w:rsidR="002E3760" w:rsidRPr="002B3025" w14:paraId="3C9E0DB7" w14:textId="77777777" w:rsidTr="00DF5598">
        <w:tc>
          <w:tcPr>
            <w:tcW w:w="567" w:type="dxa"/>
            <w:vMerge w:val="restart"/>
            <w:vAlign w:val="center"/>
          </w:tcPr>
          <w:p w14:paraId="084EC0AF"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14</w:t>
            </w:r>
          </w:p>
        </w:tc>
        <w:tc>
          <w:tcPr>
            <w:tcW w:w="1843" w:type="dxa"/>
            <w:vMerge w:val="restart"/>
            <w:vAlign w:val="center"/>
          </w:tcPr>
          <w:p w14:paraId="5042A123"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Seguros de Personas</w:t>
            </w:r>
          </w:p>
        </w:tc>
        <w:tc>
          <w:tcPr>
            <w:tcW w:w="709" w:type="dxa"/>
            <w:vAlign w:val="center"/>
          </w:tcPr>
          <w:p w14:paraId="272C91F6"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14.1</w:t>
            </w:r>
          </w:p>
        </w:tc>
        <w:tc>
          <w:tcPr>
            <w:tcW w:w="2186" w:type="dxa"/>
            <w:vAlign w:val="center"/>
          </w:tcPr>
          <w:p w14:paraId="73E84076"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Exequias</w:t>
            </w:r>
          </w:p>
        </w:tc>
        <w:tc>
          <w:tcPr>
            <w:tcW w:w="3455" w:type="dxa"/>
            <w:vMerge w:val="restart"/>
            <w:vAlign w:val="center"/>
          </w:tcPr>
          <w:p w14:paraId="2FFDF49E"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Celebración de contratos de seguros de personas, en los ramos señalados en el nivel 2.</w:t>
            </w:r>
          </w:p>
        </w:tc>
      </w:tr>
      <w:tr w:rsidR="002E3760" w:rsidRPr="002B3025" w14:paraId="1BB4FF22" w14:textId="77777777" w:rsidTr="00DF5598">
        <w:tc>
          <w:tcPr>
            <w:tcW w:w="567" w:type="dxa"/>
            <w:vMerge/>
            <w:vAlign w:val="center"/>
          </w:tcPr>
          <w:p w14:paraId="168107CA" w14:textId="77777777" w:rsidR="002B3025" w:rsidRPr="00DF5598" w:rsidRDefault="002B3025" w:rsidP="00B929BB">
            <w:pPr>
              <w:rPr>
                <w:rFonts w:ascii="Verdana" w:hAnsi="Verdana" w:cs="Arial"/>
                <w:bCs/>
                <w:sz w:val="16"/>
                <w:szCs w:val="16"/>
              </w:rPr>
            </w:pPr>
          </w:p>
        </w:tc>
        <w:tc>
          <w:tcPr>
            <w:tcW w:w="1843" w:type="dxa"/>
            <w:vMerge/>
            <w:vAlign w:val="center"/>
          </w:tcPr>
          <w:p w14:paraId="6F148FD8" w14:textId="77777777" w:rsidR="002B3025" w:rsidRPr="00DF5598" w:rsidRDefault="002B3025" w:rsidP="00B929BB">
            <w:pPr>
              <w:rPr>
                <w:rFonts w:ascii="Verdana" w:hAnsi="Verdana" w:cs="Arial"/>
                <w:bCs/>
                <w:sz w:val="16"/>
                <w:szCs w:val="16"/>
              </w:rPr>
            </w:pPr>
          </w:p>
        </w:tc>
        <w:tc>
          <w:tcPr>
            <w:tcW w:w="709" w:type="dxa"/>
            <w:vAlign w:val="center"/>
          </w:tcPr>
          <w:p w14:paraId="02DF4BE8"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14.2</w:t>
            </w:r>
          </w:p>
        </w:tc>
        <w:tc>
          <w:tcPr>
            <w:tcW w:w="2186" w:type="dxa"/>
            <w:vAlign w:val="center"/>
          </w:tcPr>
          <w:p w14:paraId="4B6FAF44"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Accidentes personales</w:t>
            </w:r>
          </w:p>
        </w:tc>
        <w:tc>
          <w:tcPr>
            <w:tcW w:w="3455" w:type="dxa"/>
            <w:vMerge/>
            <w:vAlign w:val="center"/>
          </w:tcPr>
          <w:p w14:paraId="16A38F16" w14:textId="77777777" w:rsidR="002B3025" w:rsidRPr="00DF5598" w:rsidRDefault="002B3025" w:rsidP="00B929BB">
            <w:pPr>
              <w:rPr>
                <w:rFonts w:ascii="Verdana" w:hAnsi="Verdana" w:cs="Arial"/>
                <w:bCs/>
                <w:sz w:val="16"/>
                <w:szCs w:val="16"/>
              </w:rPr>
            </w:pPr>
          </w:p>
        </w:tc>
      </w:tr>
      <w:tr w:rsidR="002E3760" w:rsidRPr="002B3025" w14:paraId="3E8B1011" w14:textId="77777777" w:rsidTr="00DF5598">
        <w:tc>
          <w:tcPr>
            <w:tcW w:w="567" w:type="dxa"/>
            <w:vMerge/>
            <w:vAlign w:val="center"/>
          </w:tcPr>
          <w:p w14:paraId="09AC816A" w14:textId="77777777" w:rsidR="002B3025" w:rsidRPr="00DF5598" w:rsidRDefault="002B3025" w:rsidP="00B929BB">
            <w:pPr>
              <w:rPr>
                <w:rFonts w:ascii="Verdana" w:hAnsi="Verdana" w:cs="Arial"/>
                <w:bCs/>
                <w:sz w:val="16"/>
                <w:szCs w:val="16"/>
              </w:rPr>
            </w:pPr>
          </w:p>
        </w:tc>
        <w:tc>
          <w:tcPr>
            <w:tcW w:w="1843" w:type="dxa"/>
            <w:vMerge/>
            <w:vAlign w:val="center"/>
          </w:tcPr>
          <w:p w14:paraId="39ED6C9E" w14:textId="77777777" w:rsidR="002B3025" w:rsidRPr="00DF5598" w:rsidRDefault="002B3025" w:rsidP="00B929BB">
            <w:pPr>
              <w:rPr>
                <w:rFonts w:ascii="Verdana" w:hAnsi="Verdana" w:cs="Arial"/>
                <w:bCs/>
                <w:sz w:val="16"/>
                <w:szCs w:val="16"/>
              </w:rPr>
            </w:pPr>
          </w:p>
        </w:tc>
        <w:tc>
          <w:tcPr>
            <w:tcW w:w="709" w:type="dxa"/>
            <w:vAlign w:val="center"/>
          </w:tcPr>
          <w:p w14:paraId="646CAA36"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14.3</w:t>
            </w:r>
          </w:p>
        </w:tc>
        <w:tc>
          <w:tcPr>
            <w:tcW w:w="2186" w:type="dxa"/>
            <w:vAlign w:val="center"/>
          </w:tcPr>
          <w:p w14:paraId="37CAB807"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 xml:space="preserve">Colectivo vida </w:t>
            </w:r>
          </w:p>
        </w:tc>
        <w:tc>
          <w:tcPr>
            <w:tcW w:w="3455" w:type="dxa"/>
            <w:vMerge/>
            <w:vAlign w:val="center"/>
          </w:tcPr>
          <w:p w14:paraId="7702B949" w14:textId="77777777" w:rsidR="002B3025" w:rsidRPr="00DF5598" w:rsidRDefault="002B3025" w:rsidP="00B929BB">
            <w:pPr>
              <w:rPr>
                <w:rFonts w:ascii="Verdana" w:hAnsi="Verdana" w:cs="Arial"/>
                <w:bCs/>
                <w:sz w:val="16"/>
                <w:szCs w:val="16"/>
              </w:rPr>
            </w:pPr>
          </w:p>
        </w:tc>
      </w:tr>
      <w:tr w:rsidR="002E3760" w:rsidRPr="002B3025" w14:paraId="6E6BAAC8" w14:textId="77777777" w:rsidTr="00DF5598">
        <w:tc>
          <w:tcPr>
            <w:tcW w:w="567" w:type="dxa"/>
            <w:vMerge/>
            <w:vAlign w:val="center"/>
          </w:tcPr>
          <w:p w14:paraId="77F44167" w14:textId="77777777" w:rsidR="002B3025" w:rsidRPr="00DF5598" w:rsidRDefault="002B3025" w:rsidP="00B929BB">
            <w:pPr>
              <w:rPr>
                <w:rFonts w:ascii="Verdana" w:hAnsi="Verdana" w:cs="Arial"/>
                <w:bCs/>
                <w:sz w:val="16"/>
                <w:szCs w:val="16"/>
              </w:rPr>
            </w:pPr>
          </w:p>
        </w:tc>
        <w:tc>
          <w:tcPr>
            <w:tcW w:w="1843" w:type="dxa"/>
            <w:vMerge/>
            <w:vAlign w:val="center"/>
          </w:tcPr>
          <w:p w14:paraId="707DF577" w14:textId="77777777" w:rsidR="002B3025" w:rsidRPr="00DF5598" w:rsidRDefault="002B3025" w:rsidP="00B929BB">
            <w:pPr>
              <w:rPr>
                <w:rFonts w:ascii="Verdana" w:hAnsi="Verdana" w:cs="Arial"/>
                <w:bCs/>
                <w:sz w:val="16"/>
                <w:szCs w:val="16"/>
              </w:rPr>
            </w:pPr>
          </w:p>
        </w:tc>
        <w:tc>
          <w:tcPr>
            <w:tcW w:w="709" w:type="dxa"/>
            <w:vAlign w:val="center"/>
          </w:tcPr>
          <w:p w14:paraId="2B3EC98C"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14.4</w:t>
            </w:r>
          </w:p>
        </w:tc>
        <w:tc>
          <w:tcPr>
            <w:tcW w:w="2186" w:type="dxa"/>
            <w:vAlign w:val="center"/>
          </w:tcPr>
          <w:p w14:paraId="22C6C851"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 xml:space="preserve">Educativo </w:t>
            </w:r>
          </w:p>
        </w:tc>
        <w:tc>
          <w:tcPr>
            <w:tcW w:w="3455" w:type="dxa"/>
            <w:vMerge/>
            <w:vAlign w:val="center"/>
          </w:tcPr>
          <w:p w14:paraId="3EFF97B4" w14:textId="77777777" w:rsidR="002B3025" w:rsidRPr="00DF5598" w:rsidRDefault="002B3025" w:rsidP="00B929BB">
            <w:pPr>
              <w:rPr>
                <w:rFonts w:ascii="Verdana" w:hAnsi="Verdana" w:cs="Arial"/>
                <w:bCs/>
                <w:sz w:val="16"/>
                <w:szCs w:val="16"/>
              </w:rPr>
            </w:pPr>
          </w:p>
        </w:tc>
      </w:tr>
      <w:tr w:rsidR="002E3760" w:rsidRPr="002B3025" w14:paraId="5CD374E7" w14:textId="77777777" w:rsidTr="00DF5598">
        <w:tc>
          <w:tcPr>
            <w:tcW w:w="567" w:type="dxa"/>
            <w:vMerge/>
            <w:vAlign w:val="center"/>
          </w:tcPr>
          <w:p w14:paraId="3383A50E" w14:textId="77777777" w:rsidR="002B3025" w:rsidRPr="00DF5598" w:rsidRDefault="002B3025" w:rsidP="00B929BB">
            <w:pPr>
              <w:rPr>
                <w:rFonts w:ascii="Verdana" w:hAnsi="Verdana" w:cs="Arial"/>
                <w:bCs/>
                <w:sz w:val="16"/>
                <w:szCs w:val="16"/>
              </w:rPr>
            </w:pPr>
          </w:p>
        </w:tc>
        <w:tc>
          <w:tcPr>
            <w:tcW w:w="1843" w:type="dxa"/>
            <w:vMerge/>
            <w:vAlign w:val="center"/>
          </w:tcPr>
          <w:p w14:paraId="5C5FE13A" w14:textId="77777777" w:rsidR="002B3025" w:rsidRPr="00DF5598" w:rsidRDefault="002B3025" w:rsidP="00B929BB">
            <w:pPr>
              <w:rPr>
                <w:rFonts w:ascii="Verdana" w:hAnsi="Verdana" w:cs="Arial"/>
                <w:bCs/>
                <w:sz w:val="16"/>
                <w:szCs w:val="16"/>
              </w:rPr>
            </w:pPr>
          </w:p>
        </w:tc>
        <w:tc>
          <w:tcPr>
            <w:tcW w:w="709" w:type="dxa"/>
            <w:vAlign w:val="center"/>
          </w:tcPr>
          <w:p w14:paraId="6550516C"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14.5</w:t>
            </w:r>
          </w:p>
        </w:tc>
        <w:tc>
          <w:tcPr>
            <w:tcW w:w="2186" w:type="dxa"/>
            <w:vAlign w:val="center"/>
          </w:tcPr>
          <w:p w14:paraId="555096E4"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Vida grupo</w:t>
            </w:r>
          </w:p>
        </w:tc>
        <w:tc>
          <w:tcPr>
            <w:tcW w:w="3455" w:type="dxa"/>
            <w:vMerge/>
            <w:vAlign w:val="center"/>
          </w:tcPr>
          <w:p w14:paraId="0FB98FEF" w14:textId="77777777" w:rsidR="002B3025" w:rsidRPr="00DF5598" w:rsidRDefault="002B3025" w:rsidP="00B929BB">
            <w:pPr>
              <w:rPr>
                <w:rFonts w:ascii="Verdana" w:hAnsi="Verdana" w:cs="Arial"/>
                <w:bCs/>
                <w:sz w:val="16"/>
                <w:szCs w:val="16"/>
              </w:rPr>
            </w:pPr>
          </w:p>
        </w:tc>
      </w:tr>
      <w:tr w:rsidR="002E3760" w:rsidRPr="002B3025" w14:paraId="01D139FA" w14:textId="77777777" w:rsidTr="00DF5598">
        <w:tc>
          <w:tcPr>
            <w:tcW w:w="567" w:type="dxa"/>
            <w:vMerge/>
            <w:vAlign w:val="center"/>
          </w:tcPr>
          <w:p w14:paraId="37389AC9" w14:textId="77777777" w:rsidR="002B3025" w:rsidRPr="00DF5598" w:rsidRDefault="002B3025" w:rsidP="00B929BB">
            <w:pPr>
              <w:rPr>
                <w:rFonts w:ascii="Verdana" w:hAnsi="Verdana" w:cs="Arial"/>
                <w:bCs/>
                <w:sz w:val="16"/>
                <w:szCs w:val="16"/>
              </w:rPr>
            </w:pPr>
          </w:p>
        </w:tc>
        <w:tc>
          <w:tcPr>
            <w:tcW w:w="1843" w:type="dxa"/>
            <w:vMerge/>
            <w:vAlign w:val="center"/>
          </w:tcPr>
          <w:p w14:paraId="1196D4D5" w14:textId="77777777" w:rsidR="002B3025" w:rsidRPr="00DF5598" w:rsidRDefault="002B3025" w:rsidP="00B929BB">
            <w:pPr>
              <w:rPr>
                <w:rFonts w:ascii="Verdana" w:hAnsi="Verdana" w:cs="Arial"/>
                <w:bCs/>
                <w:sz w:val="16"/>
                <w:szCs w:val="16"/>
              </w:rPr>
            </w:pPr>
          </w:p>
        </w:tc>
        <w:tc>
          <w:tcPr>
            <w:tcW w:w="709" w:type="dxa"/>
            <w:vAlign w:val="center"/>
          </w:tcPr>
          <w:p w14:paraId="626FB19D"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14.6</w:t>
            </w:r>
          </w:p>
        </w:tc>
        <w:tc>
          <w:tcPr>
            <w:tcW w:w="2186" w:type="dxa"/>
            <w:vAlign w:val="center"/>
          </w:tcPr>
          <w:p w14:paraId="71FDC3C0"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 xml:space="preserve">Salud </w:t>
            </w:r>
          </w:p>
        </w:tc>
        <w:tc>
          <w:tcPr>
            <w:tcW w:w="3455" w:type="dxa"/>
            <w:vMerge/>
            <w:vAlign w:val="center"/>
          </w:tcPr>
          <w:p w14:paraId="2F4B9649" w14:textId="77777777" w:rsidR="002B3025" w:rsidRPr="00DF5598" w:rsidRDefault="002B3025" w:rsidP="00B929BB">
            <w:pPr>
              <w:rPr>
                <w:rFonts w:ascii="Verdana" w:hAnsi="Verdana" w:cs="Arial"/>
                <w:bCs/>
                <w:sz w:val="16"/>
                <w:szCs w:val="16"/>
              </w:rPr>
            </w:pPr>
          </w:p>
        </w:tc>
      </w:tr>
      <w:tr w:rsidR="002E3760" w:rsidRPr="002B3025" w14:paraId="70CDE9D2" w14:textId="77777777" w:rsidTr="00DF5598">
        <w:tc>
          <w:tcPr>
            <w:tcW w:w="567" w:type="dxa"/>
            <w:vMerge/>
            <w:vAlign w:val="center"/>
          </w:tcPr>
          <w:p w14:paraId="52A9DBEC" w14:textId="77777777" w:rsidR="002B3025" w:rsidRPr="00DF5598" w:rsidRDefault="002B3025" w:rsidP="00B929BB">
            <w:pPr>
              <w:rPr>
                <w:rFonts w:ascii="Verdana" w:hAnsi="Verdana" w:cs="Arial"/>
                <w:bCs/>
                <w:sz w:val="16"/>
                <w:szCs w:val="16"/>
              </w:rPr>
            </w:pPr>
          </w:p>
        </w:tc>
        <w:tc>
          <w:tcPr>
            <w:tcW w:w="1843" w:type="dxa"/>
            <w:vMerge/>
            <w:vAlign w:val="center"/>
          </w:tcPr>
          <w:p w14:paraId="5966DE1A" w14:textId="77777777" w:rsidR="002B3025" w:rsidRPr="00DF5598" w:rsidRDefault="002B3025" w:rsidP="00B929BB">
            <w:pPr>
              <w:rPr>
                <w:rFonts w:ascii="Verdana" w:hAnsi="Verdana" w:cs="Arial"/>
                <w:bCs/>
                <w:sz w:val="16"/>
                <w:szCs w:val="16"/>
              </w:rPr>
            </w:pPr>
          </w:p>
        </w:tc>
        <w:tc>
          <w:tcPr>
            <w:tcW w:w="709" w:type="dxa"/>
            <w:vAlign w:val="center"/>
          </w:tcPr>
          <w:p w14:paraId="5A637578"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14.7</w:t>
            </w:r>
          </w:p>
        </w:tc>
        <w:tc>
          <w:tcPr>
            <w:tcW w:w="2186" w:type="dxa"/>
            <w:vAlign w:val="center"/>
          </w:tcPr>
          <w:p w14:paraId="349E5742"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Vida individual</w:t>
            </w:r>
          </w:p>
        </w:tc>
        <w:tc>
          <w:tcPr>
            <w:tcW w:w="3455" w:type="dxa"/>
            <w:vMerge/>
            <w:vAlign w:val="center"/>
          </w:tcPr>
          <w:p w14:paraId="39865093" w14:textId="77777777" w:rsidR="002B3025" w:rsidRPr="00DF5598" w:rsidRDefault="002B3025" w:rsidP="00B929BB">
            <w:pPr>
              <w:rPr>
                <w:rFonts w:ascii="Verdana" w:hAnsi="Verdana" w:cs="Arial"/>
                <w:bCs/>
                <w:sz w:val="16"/>
                <w:szCs w:val="16"/>
              </w:rPr>
            </w:pPr>
          </w:p>
        </w:tc>
      </w:tr>
      <w:tr w:rsidR="002E3760" w:rsidRPr="002B3025" w14:paraId="307A4B98" w14:textId="77777777" w:rsidTr="00DF5598">
        <w:tc>
          <w:tcPr>
            <w:tcW w:w="567" w:type="dxa"/>
            <w:vMerge/>
            <w:vAlign w:val="center"/>
          </w:tcPr>
          <w:p w14:paraId="26901600" w14:textId="77777777" w:rsidR="002B3025" w:rsidRPr="00DF5598" w:rsidRDefault="002B3025" w:rsidP="00B929BB">
            <w:pPr>
              <w:rPr>
                <w:rFonts w:ascii="Verdana" w:hAnsi="Verdana" w:cs="Arial"/>
                <w:bCs/>
                <w:sz w:val="16"/>
                <w:szCs w:val="16"/>
              </w:rPr>
            </w:pPr>
          </w:p>
        </w:tc>
        <w:tc>
          <w:tcPr>
            <w:tcW w:w="1843" w:type="dxa"/>
            <w:vMerge/>
            <w:vAlign w:val="center"/>
          </w:tcPr>
          <w:p w14:paraId="00A8C975" w14:textId="77777777" w:rsidR="002B3025" w:rsidRPr="00DF5598" w:rsidRDefault="002B3025" w:rsidP="00B929BB">
            <w:pPr>
              <w:rPr>
                <w:rFonts w:ascii="Verdana" w:hAnsi="Verdana" w:cs="Arial"/>
                <w:bCs/>
                <w:sz w:val="16"/>
                <w:szCs w:val="16"/>
              </w:rPr>
            </w:pPr>
          </w:p>
        </w:tc>
        <w:tc>
          <w:tcPr>
            <w:tcW w:w="709" w:type="dxa"/>
            <w:vAlign w:val="center"/>
          </w:tcPr>
          <w:p w14:paraId="66453D9B"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14.8</w:t>
            </w:r>
          </w:p>
        </w:tc>
        <w:tc>
          <w:tcPr>
            <w:tcW w:w="2186" w:type="dxa"/>
            <w:vAlign w:val="center"/>
          </w:tcPr>
          <w:p w14:paraId="095954AE"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Pensiones voluntarias</w:t>
            </w:r>
          </w:p>
        </w:tc>
        <w:tc>
          <w:tcPr>
            <w:tcW w:w="3455" w:type="dxa"/>
            <w:vMerge/>
            <w:vAlign w:val="center"/>
          </w:tcPr>
          <w:p w14:paraId="43124F55" w14:textId="77777777" w:rsidR="002B3025" w:rsidRPr="00DF5598" w:rsidRDefault="002B3025" w:rsidP="00B929BB">
            <w:pPr>
              <w:rPr>
                <w:rFonts w:ascii="Verdana" w:hAnsi="Verdana" w:cs="Arial"/>
                <w:bCs/>
                <w:sz w:val="16"/>
                <w:szCs w:val="16"/>
              </w:rPr>
            </w:pPr>
          </w:p>
        </w:tc>
      </w:tr>
      <w:tr w:rsidR="002E3760" w:rsidRPr="002B3025" w14:paraId="35487F14" w14:textId="77777777" w:rsidTr="00DF5598">
        <w:tc>
          <w:tcPr>
            <w:tcW w:w="567" w:type="dxa"/>
            <w:vMerge/>
            <w:vAlign w:val="center"/>
          </w:tcPr>
          <w:p w14:paraId="5EB2C648" w14:textId="77777777" w:rsidR="002B3025" w:rsidRPr="00DF5598" w:rsidRDefault="002B3025" w:rsidP="00B929BB">
            <w:pPr>
              <w:rPr>
                <w:rFonts w:ascii="Verdana" w:hAnsi="Verdana" w:cs="Arial"/>
                <w:bCs/>
                <w:sz w:val="16"/>
                <w:szCs w:val="16"/>
              </w:rPr>
            </w:pPr>
          </w:p>
        </w:tc>
        <w:tc>
          <w:tcPr>
            <w:tcW w:w="1843" w:type="dxa"/>
            <w:vMerge/>
            <w:vAlign w:val="center"/>
          </w:tcPr>
          <w:p w14:paraId="0B6D9D9D" w14:textId="77777777" w:rsidR="002B3025" w:rsidRPr="00DF5598" w:rsidRDefault="002B3025" w:rsidP="00B929BB">
            <w:pPr>
              <w:rPr>
                <w:rFonts w:ascii="Verdana" w:hAnsi="Verdana" w:cs="Arial"/>
                <w:bCs/>
                <w:sz w:val="16"/>
                <w:szCs w:val="16"/>
              </w:rPr>
            </w:pPr>
          </w:p>
        </w:tc>
        <w:tc>
          <w:tcPr>
            <w:tcW w:w="709" w:type="dxa"/>
            <w:vAlign w:val="center"/>
          </w:tcPr>
          <w:p w14:paraId="07444144"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14.9</w:t>
            </w:r>
          </w:p>
        </w:tc>
        <w:tc>
          <w:tcPr>
            <w:tcW w:w="2186" w:type="dxa"/>
            <w:vAlign w:val="center"/>
          </w:tcPr>
          <w:p w14:paraId="60888E24"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Previsional de invalidez y sobrevivencia</w:t>
            </w:r>
          </w:p>
        </w:tc>
        <w:tc>
          <w:tcPr>
            <w:tcW w:w="3455" w:type="dxa"/>
            <w:vMerge/>
            <w:vAlign w:val="center"/>
          </w:tcPr>
          <w:p w14:paraId="71C1DD02" w14:textId="77777777" w:rsidR="002B3025" w:rsidRPr="00DF5598" w:rsidRDefault="002B3025" w:rsidP="00B929BB">
            <w:pPr>
              <w:rPr>
                <w:rFonts w:ascii="Verdana" w:hAnsi="Verdana" w:cs="Arial"/>
                <w:bCs/>
                <w:sz w:val="16"/>
                <w:szCs w:val="16"/>
              </w:rPr>
            </w:pPr>
          </w:p>
        </w:tc>
      </w:tr>
      <w:tr w:rsidR="002E3760" w:rsidRPr="002B3025" w14:paraId="5374A344" w14:textId="77777777" w:rsidTr="00DF5598">
        <w:tc>
          <w:tcPr>
            <w:tcW w:w="567" w:type="dxa"/>
            <w:vMerge/>
            <w:vAlign w:val="center"/>
          </w:tcPr>
          <w:p w14:paraId="393FE4BA" w14:textId="77777777" w:rsidR="002B3025" w:rsidRPr="00DF5598" w:rsidRDefault="002B3025" w:rsidP="00B929BB">
            <w:pPr>
              <w:rPr>
                <w:rFonts w:ascii="Verdana" w:hAnsi="Verdana" w:cs="Arial"/>
                <w:bCs/>
                <w:sz w:val="16"/>
                <w:szCs w:val="16"/>
              </w:rPr>
            </w:pPr>
          </w:p>
        </w:tc>
        <w:tc>
          <w:tcPr>
            <w:tcW w:w="1843" w:type="dxa"/>
            <w:vMerge/>
            <w:vAlign w:val="center"/>
          </w:tcPr>
          <w:p w14:paraId="633691D4" w14:textId="77777777" w:rsidR="002B3025" w:rsidRPr="00DF5598" w:rsidRDefault="002B3025" w:rsidP="00B929BB">
            <w:pPr>
              <w:rPr>
                <w:rFonts w:ascii="Verdana" w:hAnsi="Verdana" w:cs="Arial"/>
                <w:bCs/>
                <w:sz w:val="16"/>
                <w:szCs w:val="16"/>
              </w:rPr>
            </w:pPr>
          </w:p>
        </w:tc>
        <w:tc>
          <w:tcPr>
            <w:tcW w:w="709" w:type="dxa"/>
            <w:vAlign w:val="center"/>
          </w:tcPr>
          <w:p w14:paraId="3F855F30"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14.10</w:t>
            </w:r>
          </w:p>
        </w:tc>
        <w:tc>
          <w:tcPr>
            <w:tcW w:w="2186" w:type="dxa"/>
            <w:vAlign w:val="center"/>
          </w:tcPr>
          <w:p w14:paraId="7AA180DC"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 xml:space="preserve">Enfermedades de alto costo </w:t>
            </w:r>
          </w:p>
        </w:tc>
        <w:tc>
          <w:tcPr>
            <w:tcW w:w="3455" w:type="dxa"/>
            <w:vMerge/>
            <w:vAlign w:val="center"/>
          </w:tcPr>
          <w:p w14:paraId="20D9829E" w14:textId="77777777" w:rsidR="002B3025" w:rsidRPr="00DF5598" w:rsidRDefault="002B3025" w:rsidP="00B929BB">
            <w:pPr>
              <w:rPr>
                <w:rFonts w:ascii="Verdana" w:hAnsi="Verdana" w:cs="Arial"/>
                <w:bCs/>
                <w:sz w:val="16"/>
                <w:szCs w:val="16"/>
              </w:rPr>
            </w:pPr>
          </w:p>
        </w:tc>
      </w:tr>
      <w:tr w:rsidR="002E3760" w:rsidRPr="002B3025" w14:paraId="5F80396B" w14:textId="77777777" w:rsidTr="00DF5598">
        <w:tc>
          <w:tcPr>
            <w:tcW w:w="567" w:type="dxa"/>
            <w:vMerge/>
            <w:vAlign w:val="center"/>
          </w:tcPr>
          <w:p w14:paraId="3CA84690" w14:textId="77777777" w:rsidR="002B3025" w:rsidRPr="00DF5598" w:rsidRDefault="002B3025" w:rsidP="00B929BB">
            <w:pPr>
              <w:rPr>
                <w:rFonts w:ascii="Verdana" w:hAnsi="Verdana" w:cs="Arial"/>
                <w:bCs/>
                <w:sz w:val="16"/>
                <w:szCs w:val="16"/>
              </w:rPr>
            </w:pPr>
          </w:p>
        </w:tc>
        <w:tc>
          <w:tcPr>
            <w:tcW w:w="1843" w:type="dxa"/>
            <w:vMerge/>
            <w:vAlign w:val="center"/>
          </w:tcPr>
          <w:p w14:paraId="1EA7DA81" w14:textId="77777777" w:rsidR="002B3025" w:rsidRPr="00DF5598" w:rsidRDefault="002B3025" w:rsidP="00B929BB">
            <w:pPr>
              <w:rPr>
                <w:rFonts w:ascii="Verdana" w:hAnsi="Verdana" w:cs="Arial"/>
                <w:bCs/>
                <w:sz w:val="16"/>
                <w:szCs w:val="16"/>
              </w:rPr>
            </w:pPr>
          </w:p>
        </w:tc>
        <w:tc>
          <w:tcPr>
            <w:tcW w:w="709" w:type="dxa"/>
            <w:vAlign w:val="center"/>
          </w:tcPr>
          <w:p w14:paraId="287658B0"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14.11</w:t>
            </w:r>
          </w:p>
        </w:tc>
        <w:tc>
          <w:tcPr>
            <w:tcW w:w="2186" w:type="dxa"/>
            <w:vAlign w:val="center"/>
          </w:tcPr>
          <w:p w14:paraId="5F3518E6"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Pensiones Ley 100</w:t>
            </w:r>
          </w:p>
        </w:tc>
        <w:tc>
          <w:tcPr>
            <w:tcW w:w="3455" w:type="dxa"/>
            <w:vMerge/>
            <w:vAlign w:val="center"/>
          </w:tcPr>
          <w:p w14:paraId="13091BE7" w14:textId="77777777" w:rsidR="002B3025" w:rsidRPr="00DF5598" w:rsidRDefault="002B3025" w:rsidP="00B929BB">
            <w:pPr>
              <w:rPr>
                <w:rFonts w:ascii="Verdana" w:hAnsi="Verdana" w:cs="Arial"/>
                <w:bCs/>
                <w:sz w:val="16"/>
                <w:szCs w:val="16"/>
              </w:rPr>
            </w:pPr>
          </w:p>
        </w:tc>
      </w:tr>
      <w:tr w:rsidR="002E3760" w:rsidRPr="002B3025" w14:paraId="5BC0C97B" w14:textId="77777777" w:rsidTr="00DF5598">
        <w:tc>
          <w:tcPr>
            <w:tcW w:w="567" w:type="dxa"/>
            <w:vMerge/>
            <w:vAlign w:val="center"/>
          </w:tcPr>
          <w:p w14:paraId="5527A92B" w14:textId="77777777" w:rsidR="002B3025" w:rsidRPr="00DF5598" w:rsidRDefault="002B3025" w:rsidP="00B929BB">
            <w:pPr>
              <w:rPr>
                <w:rFonts w:ascii="Verdana" w:hAnsi="Verdana" w:cs="Arial"/>
                <w:bCs/>
                <w:sz w:val="16"/>
                <w:szCs w:val="16"/>
              </w:rPr>
            </w:pPr>
          </w:p>
        </w:tc>
        <w:tc>
          <w:tcPr>
            <w:tcW w:w="1843" w:type="dxa"/>
            <w:vMerge/>
            <w:vAlign w:val="center"/>
          </w:tcPr>
          <w:p w14:paraId="6D91B4A7" w14:textId="77777777" w:rsidR="002B3025" w:rsidRPr="00DF5598" w:rsidRDefault="002B3025" w:rsidP="00B929BB">
            <w:pPr>
              <w:rPr>
                <w:rFonts w:ascii="Verdana" w:hAnsi="Verdana" w:cs="Arial"/>
                <w:bCs/>
                <w:sz w:val="16"/>
                <w:szCs w:val="16"/>
              </w:rPr>
            </w:pPr>
          </w:p>
        </w:tc>
        <w:tc>
          <w:tcPr>
            <w:tcW w:w="709" w:type="dxa"/>
            <w:vAlign w:val="center"/>
          </w:tcPr>
          <w:p w14:paraId="09CC694D"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14.12</w:t>
            </w:r>
          </w:p>
        </w:tc>
        <w:tc>
          <w:tcPr>
            <w:tcW w:w="2186" w:type="dxa"/>
            <w:vAlign w:val="center"/>
          </w:tcPr>
          <w:p w14:paraId="01F0618E"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Pensiones con conmutación pensional</w:t>
            </w:r>
          </w:p>
        </w:tc>
        <w:tc>
          <w:tcPr>
            <w:tcW w:w="3455" w:type="dxa"/>
            <w:vMerge/>
            <w:vAlign w:val="center"/>
          </w:tcPr>
          <w:p w14:paraId="7DDB28FF" w14:textId="77777777" w:rsidR="002B3025" w:rsidRPr="00DF5598" w:rsidRDefault="002B3025" w:rsidP="00B929BB">
            <w:pPr>
              <w:rPr>
                <w:rFonts w:ascii="Verdana" w:hAnsi="Verdana" w:cs="Arial"/>
                <w:bCs/>
                <w:sz w:val="16"/>
                <w:szCs w:val="16"/>
              </w:rPr>
            </w:pPr>
          </w:p>
        </w:tc>
      </w:tr>
      <w:tr w:rsidR="002E3760" w:rsidRPr="002B3025" w14:paraId="3CD29758" w14:textId="77777777" w:rsidTr="00DF5598">
        <w:tc>
          <w:tcPr>
            <w:tcW w:w="567" w:type="dxa"/>
            <w:vMerge/>
            <w:vAlign w:val="center"/>
          </w:tcPr>
          <w:p w14:paraId="0DFE546B" w14:textId="77777777" w:rsidR="002B3025" w:rsidRPr="00DF5598" w:rsidRDefault="002B3025" w:rsidP="00B929BB">
            <w:pPr>
              <w:rPr>
                <w:rFonts w:ascii="Verdana" w:hAnsi="Verdana" w:cs="Arial"/>
                <w:bCs/>
                <w:sz w:val="16"/>
                <w:szCs w:val="16"/>
              </w:rPr>
            </w:pPr>
          </w:p>
        </w:tc>
        <w:tc>
          <w:tcPr>
            <w:tcW w:w="1843" w:type="dxa"/>
            <w:vMerge/>
            <w:vAlign w:val="center"/>
          </w:tcPr>
          <w:p w14:paraId="70F95373" w14:textId="77777777" w:rsidR="002B3025" w:rsidRPr="00DF5598" w:rsidRDefault="002B3025" w:rsidP="00B929BB">
            <w:pPr>
              <w:rPr>
                <w:rFonts w:ascii="Verdana" w:hAnsi="Verdana" w:cs="Arial"/>
                <w:bCs/>
                <w:sz w:val="16"/>
                <w:szCs w:val="16"/>
              </w:rPr>
            </w:pPr>
          </w:p>
        </w:tc>
        <w:tc>
          <w:tcPr>
            <w:tcW w:w="709" w:type="dxa"/>
            <w:vAlign w:val="center"/>
          </w:tcPr>
          <w:p w14:paraId="28036707"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14.13</w:t>
            </w:r>
          </w:p>
        </w:tc>
        <w:tc>
          <w:tcPr>
            <w:tcW w:w="2186" w:type="dxa"/>
            <w:vAlign w:val="center"/>
          </w:tcPr>
          <w:p w14:paraId="259441F3"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Riesgos laborales</w:t>
            </w:r>
          </w:p>
        </w:tc>
        <w:tc>
          <w:tcPr>
            <w:tcW w:w="3455" w:type="dxa"/>
            <w:vMerge/>
            <w:vAlign w:val="center"/>
          </w:tcPr>
          <w:p w14:paraId="43B2C8EA" w14:textId="77777777" w:rsidR="002B3025" w:rsidRPr="00DF5598" w:rsidRDefault="002B3025" w:rsidP="00B929BB">
            <w:pPr>
              <w:rPr>
                <w:rFonts w:ascii="Verdana" w:hAnsi="Verdana" w:cs="Arial"/>
                <w:bCs/>
                <w:sz w:val="16"/>
                <w:szCs w:val="16"/>
              </w:rPr>
            </w:pPr>
          </w:p>
        </w:tc>
      </w:tr>
      <w:tr w:rsidR="002E3760" w:rsidRPr="002B3025" w14:paraId="469A08E8" w14:textId="77777777" w:rsidTr="00DF5598">
        <w:tc>
          <w:tcPr>
            <w:tcW w:w="567" w:type="dxa"/>
            <w:vMerge/>
            <w:vAlign w:val="center"/>
          </w:tcPr>
          <w:p w14:paraId="7604D8BE" w14:textId="77777777" w:rsidR="002B3025" w:rsidRPr="00DF5598" w:rsidRDefault="002B3025" w:rsidP="00B929BB">
            <w:pPr>
              <w:rPr>
                <w:rFonts w:ascii="Verdana" w:hAnsi="Verdana" w:cs="Arial"/>
                <w:bCs/>
                <w:sz w:val="16"/>
                <w:szCs w:val="16"/>
              </w:rPr>
            </w:pPr>
          </w:p>
        </w:tc>
        <w:tc>
          <w:tcPr>
            <w:tcW w:w="1843" w:type="dxa"/>
            <w:vMerge/>
            <w:vAlign w:val="center"/>
          </w:tcPr>
          <w:p w14:paraId="32FBDFB2" w14:textId="77777777" w:rsidR="002B3025" w:rsidRPr="00DF5598" w:rsidRDefault="002B3025" w:rsidP="00B929BB">
            <w:pPr>
              <w:rPr>
                <w:rFonts w:ascii="Verdana" w:hAnsi="Verdana" w:cs="Arial"/>
                <w:bCs/>
                <w:sz w:val="16"/>
                <w:szCs w:val="16"/>
              </w:rPr>
            </w:pPr>
          </w:p>
        </w:tc>
        <w:tc>
          <w:tcPr>
            <w:tcW w:w="709" w:type="dxa"/>
            <w:vAlign w:val="center"/>
          </w:tcPr>
          <w:p w14:paraId="03C16E15"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14.14</w:t>
            </w:r>
          </w:p>
        </w:tc>
        <w:tc>
          <w:tcPr>
            <w:tcW w:w="2186" w:type="dxa"/>
            <w:vAlign w:val="center"/>
          </w:tcPr>
          <w:p w14:paraId="2EA8DADF"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SOAT</w:t>
            </w:r>
          </w:p>
        </w:tc>
        <w:tc>
          <w:tcPr>
            <w:tcW w:w="3455" w:type="dxa"/>
            <w:vMerge/>
            <w:vAlign w:val="center"/>
          </w:tcPr>
          <w:p w14:paraId="1EE15C2E" w14:textId="77777777" w:rsidR="002B3025" w:rsidRPr="00DF5598" w:rsidRDefault="002B3025" w:rsidP="00B929BB">
            <w:pPr>
              <w:rPr>
                <w:rFonts w:ascii="Verdana" w:hAnsi="Verdana" w:cs="Arial"/>
                <w:bCs/>
                <w:sz w:val="16"/>
                <w:szCs w:val="16"/>
              </w:rPr>
            </w:pPr>
          </w:p>
        </w:tc>
      </w:tr>
      <w:tr w:rsidR="002E3760" w:rsidRPr="002B3025" w14:paraId="6B4FBABD" w14:textId="77777777" w:rsidTr="00DF5598">
        <w:tc>
          <w:tcPr>
            <w:tcW w:w="567" w:type="dxa"/>
            <w:vMerge/>
            <w:vAlign w:val="center"/>
          </w:tcPr>
          <w:p w14:paraId="1E548EF7" w14:textId="77777777" w:rsidR="002B3025" w:rsidRPr="00DF5598" w:rsidRDefault="002B3025" w:rsidP="00B929BB">
            <w:pPr>
              <w:rPr>
                <w:rFonts w:ascii="Verdana" w:hAnsi="Verdana" w:cs="Arial"/>
                <w:bCs/>
                <w:sz w:val="16"/>
                <w:szCs w:val="16"/>
              </w:rPr>
            </w:pPr>
          </w:p>
        </w:tc>
        <w:tc>
          <w:tcPr>
            <w:tcW w:w="1843" w:type="dxa"/>
            <w:vMerge/>
            <w:vAlign w:val="center"/>
          </w:tcPr>
          <w:p w14:paraId="2CFD55AD" w14:textId="77777777" w:rsidR="002B3025" w:rsidRPr="00DF5598" w:rsidRDefault="002B3025" w:rsidP="00B929BB">
            <w:pPr>
              <w:rPr>
                <w:rFonts w:ascii="Verdana" w:hAnsi="Verdana" w:cs="Arial"/>
                <w:bCs/>
                <w:sz w:val="16"/>
                <w:szCs w:val="16"/>
              </w:rPr>
            </w:pPr>
          </w:p>
        </w:tc>
        <w:tc>
          <w:tcPr>
            <w:tcW w:w="709" w:type="dxa"/>
            <w:vAlign w:val="center"/>
          </w:tcPr>
          <w:p w14:paraId="0DCC8D51"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14.15</w:t>
            </w:r>
          </w:p>
        </w:tc>
        <w:tc>
          <w:tcPr>
            <w:tcW w:w="2186" w:type="dxa"/>
            <w:vAlign w:val="center"/>
          </w:tcPr>
          <w:p w14:paraId="7B560A21"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Rentas Voluntarias</w:t>
            </w:r>
          </w:p>
        </w:tc>
        <w:tc>
          <w:tcPr>
            <w:tcW w:w="3455" w:type="dxa"/>
            <w:vMerge/>
            <w:vAlign w:val="center"/>
          </w:tcPr>
          <w:p w14:paraId="2ECF8C8D" w14:textId="77777777" w:rsidR="002B3025" w:rsidRPr="00DF5598" w:rsidRDefault="002B3025" w:rsidP="00B929BB">
            <w:pPr>
              <w:rPr>
                <w:rFonts w:ascii="Verdana" w:hAnsi="Verdana" w:cs="Arial"/>
                <w:bCs/>
                <w:sz w:val="16"/>
                <w:szCs w:val="16"/>
              </w:rPr>
            </w:pPr>
          </w:p>
        </w:tc>
      </w:tr>
      <w:tr w:rsidR="002E3760" w:rsidRPr="002B3025" w14:paraId="359DE877" w14:textId="77777777" w:rsidTr="00DF5598">
        <w:tc>
          <w:tcPr>
            <w:tcW w:w="567" w:type="dxa"/>
            <w:vMerge/>
            <w:vAlign w:val="center"/>
          </w:tcPr>
          <w:p w14:paraId="6CBBC35E" w14:textId="77777777" w:rsidR="002B3025" w:rsidRPr="00DF5598" w:rsidRDefault="002B3025" w:rsidP="00B929BB">
            <w:pPr>
              <w:rPr>
                <w:rFonts w:ascii="Verdana" w:hAnsi="Verdana" w:cs="Arial"/>
                <w:bCs/>
                <w:sz w:val="16"/>
                <w:szCs w:val="16"/>
              </w:rPr>
            </w:pPr>
          </w:p>
        </w:tc>
        <w:tc>
          <w:tcPr>
            <w:tcW w:w="1843" w:type="dxa"/>
            <w:vMerge/>
            <w:vAlign w:val="center"/>
          </w:tcPr>
          <w:p w14:paraId="7A42DDC3" w14:textId="77777777" w:rsidR="002B3025" w:rsidRPr="00DF5598" w:rsidRDefault="002B3025" w:rsidP="00B929BB">
            <w:pPr>
              <w:rPr>
                <w:rFonts w:ascii="Verdana" w:hAnsi="Verdana" w:cs="Arial"/>
                <w:bCs/>
                <w:sz w:val="16"/>
                <w:szCs w:val="16"/>
              </w:rPr>
            </w:pPr>
          </w:p>
        </w:tc>
        <w:tc>
          <w:tcPr>
            <w:tcW w:w="709" w:type="dxa"/>
            <w:vAlign w:val="center"/>
          </w:tcPr>
          <w:p w14:paraId="72428257"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14.16</w:t>
            </w:r>
          </w:p>
        </w:tc>
        <w:tc>
          <w:tcPr>
            <w:tcW w:w="2186" w:type="dxa"/>
            <w:vAlign w:val="center"/>
          </w:tcPr>
          <w:p w14:paraId="7C8F3139"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Patrimonios autónomos fondos de pensiones voluntarias</w:t>
            </w:r>
          </w:p>
        </w:tc>
        <w:tc>
          <w:tcPr>
            <w:tcW w:w="3455" w:type="dxa"/>
            <w:vMerge/>
            <w:vAlign w:val="center"/>
          </w:tcPr>
          <w:p w14:paraId="1C604E05" w14:textId="77777777" w:rsidR="002B3025" w:rsidRPr="00DF5598" w:rsidRDefault="002B3025" w:rsidP="00B929BB">
            <w:pPr>
              <w:rPr>
                <w:rFonts w:ascii="Verdana" w:hAnsi="Verdana" w:cs="Arial"/>
                <w:bCs/>
                <w:sz w:val="16"/>
                <w:szCs w:val="16"/>
              </w:rPr>
            </w:pPr>
          </w:p>
        </w:tc>
      </w:tr>
      <w:tr w:rsidR="002E3760" w:rsidRPr="002B3025" w14:paraId="757AC0C4" w14:textId="77777777" w:rsidTr="00DF5598">
        <w:tc>
          <w:tcPr>
            <w:tcW w:w="567" w:type="dxa"/>
            <w:vMerge/>
            <w:vAlign w:val="center"/>
          </w:tcPr>
          <w:p w14:paraId="05EBDE1F" w14:textId="77777777" w:rsidR="002B3025" w:rsidRPr="00DF5598" w:rsidRDefault="002B3025" w:rsidP="00B929BB">
            <w:pPr>
              <w:rPr>
                <w:rFonts w:ascii="Verdana" w:hAnsi="Verdana" w:cs="Arial"/>
                <w:bCs/>
                <w:sz w:val="16"/>
                <w:szCs w:val="16"/>
              </w:rPr>
            </w:pPr>
          </w:p>
        </w:tc>
        <w:tc>
          <w:tcPr>
            <w:tcW w:w="1843" w:type="dxa"/>
            <w:vMerge/>
            <w:vAlign w:val="center"/>
          </w:tcPr>
          <w:p w14:paraId="44B50A47" w14:textId="77777777" w:rsidR="002B3025" w:rsidRPr="00DF5598" w:rsidRDefault="002B3025" w:rsidP="00B929BB">
            <w:pPr>
              <w:rPr>
                <w:rFonts w:ascii="Verdana" w:hAnsi="Verdana" w:cs="Arial"/>
                <w:bCs/>
                <w:sz w:val="16"/>
                <w:szCs w:val="16"/>
              </w:rPr>
            </w:pPr>
          </w:p>
        </w:tc>
        <w:tc>
          <w:tcPr>
            <w:tcW w:w="709" w:type="dxa"/>
            <w:vAlign w:val="center"/>
          </w:tcPr>
          <w:p w14:paraId="7058166A"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14.17</w:t>
            </w:r>
          </w:p>
        </w:tc>
        <w:tc>
          <w:tcPr>
            <w:tcW w:w="2186" w:type="dxa"/>
            <w:vAlign w:val="center"/>
          </w:tcPr>
          <w:p w14:paraId="7E60CB6D"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Beneficios Económicos Periódicos – BEPS</w:t>
            </w:r>
          </w:p>
        </w:tc>
        <w:tc>
          <w:tcPr>
            <w:tcW w:w="3455" w:type="dxa"/>
            <w:vMerge/>
            <w:vAlign w:val="center"/>
          </w:tcPr>
          <w:p w14:paraId="62691C97" w14:textId="77777777" w:rsidR="002B3025" w:rsidRPr="00DF5598" w:rsidRDefault="002B3025" w:rsidP="00B929BB">
            <w:pPr>
              <w:rPr>
                <w:rFonts w:ascii="Verdana" w:hAnsi="Verdana" w:cs="Arial"/>
                <w:bCs/>
                <w:sz w:val="16"/>
                <w:szCs w:val="16"/>
              </w:rPr>
            </w:pPr>
          </w:p>
        </w:tc>
      </w:tr>
      <w:tr w:rsidR="002E3760" w:rsidRPr="002B3025" w14:paraId="04441D65" w14:textId="77777777" w:rsidTr="00DF5598">
        <w:tc>
          <w:tcPr>
            <w:tcW w:w="567" w:type="dxa"/>
            <w:vMerge w:val="restart"/>
            <w:vAlign w:val="center"/>
          </w:tcPr>
          <w:p w14:paraId="01421F56"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15</w:t>
            </w:r>
          </w:p>
        </w:tc>
        <w:tc>
          <w:tcPr>
            <w:tcW w:w="1843" w:type="dxa"/>
            <w:vMerge w:val="restart"/>
            <w:vAlign w:val="center"/>
          </w:tcPr>
          <w:p w14:paraId="60B8CABB"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Seguros de Daños</w:t>
            </w:r>
          </w:p>
        </w:tc>
        <w:tc>
          <w:tcPr>
            <w:tcW w:w="709" w:type="dxa"/>
            <w:vAlign w:val="center"/>
          </w:tcPr>
          <w:p w14:paraId="2C465362"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15.1</w:t>
            </w:r>
          </w:p>
        </w:tc>
        <w:tc>
          <w:tcPr>
            <w:tcW w:w="2186" w:type="dxa"/>
            <w:vAlign w:val="center"/>
          </w:tcPr>
          <w:p w14:paraId="20F9A7AD"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Automóviles</w:t>
            </w:r>
          </w:p>
        </w:tc>
        <w:tc>
          <w:tcPr>
            <w:tcW w:w="3455" w:type="dxa"/>
            <w:vMerge w:val="restart"/>
            <w:vAlign w:val="center"/>
          </w:tcPr>
          <w:p w14:paraId="24A25FDB"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 xml:space="preserve">Celebración de contratos de seguros de daños, en los ramos señalados en el nivel 2. </w:t>
            </w:r>
          </w:p>
        </w:tc>
      </w:tr>
      <w:tr w:rsidR="002E3760" w:rsidRPr="002B3025" w14:paraId="3BC60D25" w14:textId="77777777" w:rsidTr="00DF5598">
        <w:tc>
          <w:tcPr>
            <w:tcW w:w="567" w:type="dxa"/>
            <w:vMerge/>
            <w:vAlign w:val="center"/>
          </w:tcPr>
          <w:p w14:paraId="44284E15" w14:textId="77777777" w:rsidR="002B3025" w:rsidRPr="00DF5598" w:rsidRDefault="002B3025" w:rsidP="00B929BB">
            <w:pPr>
              <w:rPr>
                <w:rFonts w:ascii="Verdana" w:hAnsi="Verdana" w:cs="Arial"/>
                <w:bCs/>
                <w:sz w:val="16"/>
                <w:szCs w:val="16"/>
              </w:rPr>
            </w:pPr>
          </w:p>
        </w:tc>
        <w:tc>
          <w:tcPr>
            <w:tcW w:w="1843" w:type="dxa"/>
            <w:vMerge/>
            <w:vAlign w:val="center"/>
          </w:tcPr>
          <w:p w14:paraId="594863C7" w14:textId="77777777" w:rsidR="002B3025" w:rsidRPr="00DF5598" w:rsidRDefault="002B3025" w:rsidP="00B929BB">
            <w:pPr>
              <w:rPr>
                <w:rFonts w:ascii="Verdana" w:hAnsi="Verdana" w:cs="Arial"/>
                <w:bCs/>
                <w:sz w:val="16"/>
                <w:szCs w:val="16"/>
              </w:rPr>
            </w:pPr>
          </w:p>
        </w:tc>
        <w:tc>
          <w:tcPr>
            <w:tcW w:w="709" w:type="dxa"/>
            <w:vAlign w:val="center"/>
          </w:tcPr>
          <w:p w14:paraId="4928B590"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15.2</w:t>
            </w:r>
          </w:p>
        </w:tc>
        <w:tc>
          <w:tcPr>
            <w:tcW w:w="2186" w:type="dxa"/>
            <w:vAlign w:val="center"/>
          </w:tcPr>
          <w:p w14:paraId="39CA4136"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Incendio</w:t>
            </w:r>
          </w:p>
        </w:tc>
        <w:tc>
          <w:tcPr>
            <w:tcW w:w="3455" w:type="dxa"/>
            <w:vMerge/>
            <w:vAlign w:val="center"/>
          </w:tcPr>
          <w:p w14:paraId="1F347DAD" w14:textId="77777777" w:rsidR="002B3025" w:rsidRPr="00DF5598" w:rsidRDefault="002B3025" w:rsidP="00B929BB">
            <w:pPr>
              <w:rPr>
                <w:rFonts w:ascii="Verdana" w:hAnsi="Verdana" w:cs="Arial"/>
                <w:bCs/>
                <w:sz w:val="16"/>
                <w:szCs w:val="16"/>
              </w:rPr>
            </w:pPr>
          </w:p>
        </w:tc>
      </w:tr>
      <w:tr w:rsidR="002E3760" w:rsidRPr="002B3025" w14:paraId="6B0468F8" w14:textId="77777777" w:rsidTr="00DF5598">
        <w:tc>
          <w:tcPr>
            <w:tcW w:w="567" w:type="dxa"/>
            <w:vMerge/>
            <w:vAlign w:val="center"/>
          </w:tcPr>
          <w:p w14:paraId="37F3203B" w14:textId="77777777" w:rsidR="002B3025" w:rsidRPr="00DF5598" w:rsidRDefault="002B3025" w:rsidP="00B929BB">
            <w:pPr>
              <w:rPr>
                <w:rFonts w:ascii="Verdana" w:hAnsi="Verdana" w:cs="Arial"/>
                <w:bCs/>
                <w:sz w:val="16"/>
                <w:szCs w:val="16"/>
              </w:rPr>
            </w:pPr>
          </w:p>
        </w:tc>
        <w:tc>
          <w:tcPr>
            <w:tcW w:w="1843" w:type="dxa"/>
            <w:vMerge/>
            <w:vAlign w:val="center"/>
          </w:tcPr>
          <w:p w14:paraId="05283E78" w14:textId="77777777" w:rsidR="002B3025" w:rsidRPr="00DF5598" w:rsidRDefault="002B3025" w:rsidP="00B929BB">
            <w:pPr>
              <w:rPr>
                <w:rFonts w:ascii="Verdana" w:hAnsi="Verdana" w:cs="Arial"/>
                <w:bCs/>
                <w:sz w:val="16"/>
                <w:szCs w:val="16"/>
              </w:rPr>
            </w:pPr>
          </w:p>
        </w:tc>
        <w:tc>
          <w:tcPr>
            <w:tcW w:w="709" w:type="dxa"/>
            <w:vAlign w:val="center"/>
          </w:tcPr>
          <w:p w14:paraId="73F13C8F"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15.3</w:t>
            </w:r>
          </w:p>
        </w:tc>
        <w:tc>
          <w:tcPr>
            <w:tcW w:w="2186" w:type="dxa"/>
            <w:vAlign w:val="center"/>
          </w:tcPr>
          <w:p w14:paraId="08AD3848"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Sustracción</w:t>
            </w:r>
          </w:p>
        </w:tc>
        <w:tc>
          <w:tcPr>
            <w:tcW w:w="3455" w:type="dxa"/>
            <w:vMerge/>
            <w:vAlign w:val="center"/>
          </w:tcPr>
          <w:p w14:paraId="7854DF38" w14:textId="77777777" w:rsidR="002B3025" w:rsidRPr="00DF5598" w:rsidRDefault="002B3025" w:rsidP="00B929BB">
            <w:pPr>
              <w:rPr>
                <w:rFonts w:ascii="Verdana" w:hAnsi="Verdana" w:cs="Arial"/>
                <w:bCs/>
                <w:sz w:val="16"/>
                <w:szCs w:val="16"/>
              </w:rPr>
            </w:pPr>
          </w:p>
        </w:tc>
      </w:tr>
      <w:tr w:rsidR="002E3760" w:rsidRPr="002B3025" w14:paraId="49168509" w14:textId="77777777" w:rsidTr="00DF5598">
        <w:tc>
          <w:tcPr>
            <w:tcW w:w="567" w:type="dxa"/>
            <w:vMerge/>
            <w:vAlign w:val="center"/>
          </w:tcPr>
          <w:p w14:paraId="233BD53A" w14:textId="77777777" w:rsidR="002B3025" w:rsidRPr="00DF5598" w:rsidRDefault="002B3025" w:rsidP="00B929BB">
            <w:pPr>
              <w:rPr>
                <w:rFonts w:ascii="Verdana" w:hAnsi="Verdana" w:cs="Arial"/>
                <w:bCs/>
                <w:sz w:val="16"/>
                <w:szCs w:val="16"/>
              </w:rPr>
            </w:pPr>
          </w:p>
        </w:tc>
        <w:tc>
          <w:tcPr>
            <w:tcW w:w="1843" w:type="dxa"/>
            <w:vMerge/>
            <w:vAlign w:val="center"/>
          </w:tcPr>
          <w:p w14:paraId="496FD189" w14:textId="77777777" w:rsidR="002B3025" w:rsidRPr="00DF5598" w:rsidRDefault="002B3025" w:rsidP="00B929BB">
            <w:pPr>
              <w:rPr>
                <w:rFonts w:ascii="Verdana" w:hAnsi="Verdana" w:cs="Arial"/>
                <w:bCs/>
                <w:sz w:val="16"/>
                <w:szCs w:val="16"/>
              </w:rPr>
            </w:pPr>
          </w:p>
        </w:tc>
        <w:tc>
          <w:tcPr>
            <w:tcW w:w="709" w:type="dxa"/>
            <w:vAlign w:val="center"/>
          </w:tcPr>
          <w:p w14:paraId="61C648D6"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15.4</w:t>
            </w:r>
          </w:p>
        </w:tc>
        <w:tc>
          <w:tcPr>
            <w:tcW w:w="2186" w:type="dxa"/>
            <w:vAlign w:val="center"/>
          </w:tcPr>
          <w:p w14:paraId="0EE5324E"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Corriente débil</w:t>
            </w:r>
          </w:p>
        </w:tc>
        <w:tc>
          <w:tcPr>
            <w:tcW w:w="3455" w:type="dxa"/>
            <w:vMerge/>
            <w:vAlign w:val="center"/>
          </w:tcPr>
          <w:p w14:paraId="09C797C8" w14:textId="77777777" w:rsidR="002B3025" w:rsidRPr="00DF5598" w:rsidRDefault="002B3025" w:rsidP="00B929BB">
            <w:pPr>
              <w:rPr>
                <w:rFonts w:ascii="Verdana" w:hAnsi="Verdana" w:cs="Arial"/>
                <w:bCs/>
                <w:sz w:val="16"/>
                <w:szCs w:val="16"/>
              </w:rPr>
            </w:pPr>
          </w:p>
        </w:tc>
      </w:tr>
      <w:tr w:rsidR="002E3760" w:rsidRPr="002B3025" w14:paraId="76832671" w14:textId="77777777" w:rsidTr="00DF5598">
        <w:tc>
          <w:tcPr>
            <w:tcW w:w="567" w:type="dxa"/>
            <w:vMerge/>
            <w:vAlign w:val="center"/>
          </w:tcPr>
          <w:p w14:paraId="7FFA78A4" w14:textId="77777777" w:rsidR="002B3025" w:rsidRPr="00DF5598" w:rsidRDefault="002B3025" w:rsidP="00B929BB">
            <w:pPr>
              <w:rPr>
                <w:rFonts w:ascii="Verdana" w:hAnsi="Verdana" w:cs="Arial"/>
                <w:bCs/>
                <w:sz w:val="16"/>
                <w:szCs w:val="16"/>
              </w:rPr>
            </w:pPr>
          </w:p>
        </w:tc>
        <w:tc>
          <w:tcPr>
            <w:tcW w:w="1843" w:type="dxa"/>
            <w:vMerge/>
            <w:vAlign w:val="center"/>
          </w:tcPr>
          <w:p w14:paraId="46F32BA1" w14:textId="77777777" w:rsidR="002B3025" w:rsidRPr="00DF5598" w:rsidRDefault="002B3025" w:rsidP="00B929BB">
            <w:pPr>
              <w:rPr>
                <w:rFonts w:ascii="Verdana" w:hAnsi="Verdana" w:cs="Arial"/>
                <w:bCs/>
                <w:sz w:val="16"/>
                <w:szCs w:val="16"/>
              </w:rPr>
            </w:pPr>
          </w:p>
        </w:tc>
        <w:tc>
          <w:tcPr>
            <w:tcW w:w="709" w:type="dxa"/>
            <w:vAlign w:val="center"/>
          </w:tcPr>
          <w:p w14:paraId="79DDA9A9"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15.5</w:t>
            </w:r>
          </w:p>
        </w:tc>
        <w:tc>
          <w:tcPr>
            <w:tcW w:w="2186" w:type="dxa"/>
            <w:vAlign w:val="center"/>
          </w:tcPr>
          <w:p w14:paraId="47C2A0FF"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Lucro Cesante</w:t>
            </w:r>
          </w:p>
        </w:tc>
        <w:tc>
          <w:tcPr>
            <w:tcW w:w="3455" w:type="dxa"/>
            <w:vMerge/>
            <w:vAlign w:val="center"/>
          </w:tcPr>
          <w:p w14:paraId="10A71FFF" w14:textId="77777777" w:rsidR="002B3025" w:rsidRPr="00DF5598" w:rsidRDefault="002B3025" w:rsidP="00B929BB">
            <w:pPr>
              <w:rPr>
                <w:rFonts w:ascii="Verdana" w:hAnsi="Verdana" w:cs="Arial"/>
                <w:bCs/>
                <w:sz w:val="16"/>
                <w:szCs w:val="16"/>
              </w:rPr>
            </w:pPr>
          </w:p>
        </w:tc>
      </w:tr>
      <w:tr w:rsidR="002E3760" w:rsidRPr="002B3025" w14:paraId="1BC509B4" w14:textId="77777777" w:rsidTr="00DF5598">
        <w:tc>
          <w:tcPr>
            <w:tcW w:w="567" w:type="dxa"/>
            <w:vMerge/>
            <w:vAlign w:val="center"/>
          </w:tcPr>
          <w:p w14:paraId="2066AEB8" w14:textId="77777777" w:rsidR="002B3025" w:rsidRPr="00DF5598" w:rsidRDefault="002B3025" w:rsidP="00B929BB">
            <w:pPr>
              <w:rPr>
                <w:rFonts w:ascii="Verdana" w:hAnsi="Verdana" w:cs="Arial"/>
                <w:bCs/>
                <w:sz w:val="16"/>
                <w:szCs w:val="16"/>
              </w:rPr>
            </w:pPr>
          </w:p>
        </w:tc>
        <w:tc>
          <w:tcPr>
            <w:tcW w:w="1843" w:type="dxa"/>
            <w:vMerge/>
            <w:vAlign w:val="center"/>
          </w:tcPr>
          <w:p w14:paraId="1E499174" w14:textId="77777777" w:rsidR="002B3025" w:rsidRPr="00DF5598" w:rsidRDefault="002B3025" w:rsidP="00B929BB">
            <w:pPr>
              <w:rPr>
                <w:rFonts w:ascii="Verdana" w:hAnsi="Verdana" w:cs="Arial"/>
                <w:bCs/>
                <w:sz w:val="16"/>
                <w:szCs w:val="16"/>
              </w:rPr>
            </w:pPr>
          </w:p>
        </w:tc>
        <w:tc>
          <w:tcPr>
            <w:tcW w:w="709" w:type="dxa"/>
            <w:vAlign w:val="center"/>
          </w:tcPr>
          <w:p w14:paraId="075DC2FF"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15.6</w:t>
            </w:r>
          </w:p>
        </w:tc>
        <w:tc>
          <w:tcPr>
            <w:tcW w:w="2186" w:type="dxa"/>
            <w:vAlign w:val="center"/>
          </w:tcPr>
          <w:p w14:paraId="330E586D"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Montaje y rotura de maquinaria</w:t>
            </w:r>
          </w:p>
        </w:tc>
        <w:tc>
          <w:tcPr>
            <w:tcW w:w="3455" w:type="dxa"/>
            <w:vMerge/>
            <w:vAlign w:val="center"/>
          </w:tcPr>
          <w:p w14:paraId="48631262" w14:textId="77777777" w:rsidR="002B3025" w:rsidRPr="00DF5598" w:rsidRDefault="002B3025" w:rsidP="00B929BB">
            <w:pPr>
              <w:rPr>
                <w:rFonts w:ascii="Verdana" w:hAnsi="Verdana" w:cs="Arial"/>
                <w:bCs/>
                <w:sz w:val="16"/>
                <w:szCs w:val="16"/>
              </w:rPr>
            </w:pPr>
          </w:p>
        </w:tc>
      </w:tr>
      <w:tr w:rsidR="002E3760" w:rsidRPr="002B3025" w14:paraId="2A5B3A39" w14:textId="77777777" w:rsidTr="00DF5598">
        <w:tc>
          <w:tcPr>
            <w:tcW w:w="567" w:type="dxa"/>
            <w:vMerge/>
            <w:vAlign w:val="center"/>
          </w:tcPr>
          <w:p w14:paraId="7111F888" w14:textId="77777777" w:rsidR="002B3025" w:rsidRPr="00DF5598" w:rsidRDefault="002B3025" w:rsidP="00B929BB">
            <w:pPr>
              <w:rPr>
                <w:rFonts w:ascii="Verdana" w:hAnsi="Verdana" w:cs="Arial"/>
                <w:bCs/>
                <w:sz w:val="16"/>
                <w:szCs w:val="16"/>
              </w:rPr>
            </w:pPr>
          </w:p>
        </w:tc>
        <w:tc>
          <w:tcPr>
            <w:tcW w:w="1843" w:type="dxa"/>
            <w:vMerge/>
            <w:vAlign w:val="center"/>
          </w:tcPr>
          <w:p w14:paraId="597877CF" w14:textId="77777777" w:rsidR="002B3025" w:rsidRPr="00DF5598" w:rsidRDefault="002B3025" w:rsidP="00B929BB">
            <w:pPr>
              <w:rPr>
                <w:rFonts w:ascii="Verdana" w:hAnsi="Verdana" w:cs="Arial"/>
                <w:bCs/>
                <w:sz w:val="16"/>
                <w:szCs w:val="16"/>
              </w:rPr>
            </w:pPr>
          </w:p>
        </w:tc>
        <w:tc>
          <w:tcPr>
            <w:tcW w:w="709" w:type="dxa"/>
            <w:vAlign w:val="center"/>
          </w:tcPr>
          <w:p w14:paraId="7D992A85"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15.7</w:t>
            </w:r>
          </w:p>
        </w:tc>
        <w:tc>
          <w:tcPr>
            <w:tcW w:w="2186" w:type="dxa"/>
            <w:vAlign w:val="center"/>
          </w:tcPr>
          <w:p w14:paraId="780126DA"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Minas y petróleos</w:t>
            </w:r>
          </w:p>
        </w:tc>
        <w:tc>
          <w:tcPr>
            <w:tcW w:w="3455" w:type="dxa"/>
            <w:vMerge/>
            <w:vAlign w:val="center"/>
          </w:tcPr>
          <w:p w14:paraId="5F3C60D2" w14:textId="77777777" w:rsidR="002B3025" w:rsidRPr="00DF5598" w:rsidRDefault="002B3025" w:rsidP="00B929BB">
            <w:pPr>
              <w:rPr>
                <w:rFonts w:ascii="Verdana" w:hAnsi="Verdana" w:cs="Arial"/>
                <w:bCs/>
                <w:sz w:val="16"/>
                <w:szCs w:val="16"/>
              </w:rPr>
            </w:pPr>
          </w:p>
        </w:tc>
      </w:tr>
      <w:tr w:rsidR="002E3760" w:rsidRPr="002B3025" w14:paraId="2B5BCE27" w14:textId="77777777" w:rsidTr="00DF5598">
        <w:tc>
          <w:tcPr>
            <w:tcW w:w="567" w:type="dxa"/>
            <w:vMerge/>
            <w:vAlign w:val="center"/>
          </w:tcPr>
          <w:p w14:paraId="08D55FB2" w14:textId="77777777" w:rsidR="002B3025" w:rsidRPr="00DF5598" w:rsidRDefault="002B3025" w:rsidP="00B929BB">
            <w:pPr>
              <w:rPr>
                <w:rFonts w:ascii="Verdana" w:hAnsi="Verdana" w:cs="Arial"/>
                <w:bCs/>
                <w:sz w:val="16"/>
                <w:szCs w:val="16"/>
              </w:rPr>
            </w:pPr>
          </w:p>
        </w:tc>
        <w:tc>
          <w:tcPr>
            <w:tcW w:w="1843" w:type="dxa"/>
            <w:vMerge/>
            <w:vAlign w:val="center"/>
          </w:tcPr>
          <w:p w14:paraId="7CC4F1F9" w14:textId="77777777" w:rsidR="002B3025" w:rsidRPr="00DF5598" w:rsidRDefault="002B3025" w:rsidP="00B929BB">
            <w:pPr>
              <w:rPr>
                <w:rFonts w:ascii="Verdana" w:hAnsi="Verdana" w:cs="Arial"/>
                <w:bCs/>
                <w:sz w:val="16"/>
                <w:szCs w:val="16"/>
              </w:rPr>
            </w:pPr>
          </w:p>
        </w:tc>
        <w:tc>
          <w:tcPr>
            <w:tcW w:w="709" w:type="dxa"/>
            <w:vAlign w:val="center"/>
          </w:tcPr>
          <w:p w14:paraId="2A83D425"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15.8</w:t>
            </w:r>
          </w:p>
        </w:tc>
        <w:tc>
          <w:tcPr>
            <w:tcW w:w="2186" w:type="dxa"/>
            <w:vAlign w:val="center"/>
          </w:tcPr>
          <w:p w14:paraId="1E6E5E7E"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Vidrios</w:t>
            </w:r>
          </w:p>
        </w:tc>
        <w:tc>
          <w:tcPr>
            <w:tcW w:w="3455" w:type="dxa"/>
            <w:vMerge/>
            <w:vAlign w:val="center"/>
          </w:tcPr>
          <w:p w14:paraId="0B2BD374" w14:textId="77777777" w:rsidR="002B3025" w:rsidRPr="00DF5598" w:rsidRDefault="002B3025" w:rsidP="00B929BB">
            <w:pPr>
              <w:rPr>
                <w:rFonts w:ascii="Verdana" w:hAnsi="Verdana" w:cs="Arial"/>
                <w:bCs/>
                <w:sz w:val="16"/>
                <w:szCs w:val="16"/>
              </w:rPr>
            </w:pPr>
          </w:p>
        </w:tc>
      </w:tr>
      <w:tr w:rsidR="002E3760" w:rsidRPr="002B3025" w14:paraId="5B62C805" w14:textId="77777777" w:rsidTr="00DF5598">
        <w:tc>
          <w:tcPr>
            <w:tcW w:w="567" w:type="dxa"/>
            <w:vMerge/>
            <w:vAlign w:val="center"/>
          </w:tcPr>
          <w:p w14:paraId="7C006CCE" w14:textId="77777777" w:rsidR="002B3025" w:rsidRPr="00DF5598" w:rsidRDefault="002B3025" w:rsidP="00B929BB">
            <w:pPr>
              <w:rPr>
                <w:rFonts w:ascii="Verdana" w:hAnsi="Verdana" w:cs="Arial"/>
                <w:bCs/>
                <w:sz w:val="16"/>
                <w:szCs w:val="16"/>
              </w:rPr>
            </w:pPr>
          </w:p>
        </w:tc>
        <w:tc>
          <w:tcPr>
            <w:tcW w:w="1843" w:type="dxa"/>
            <w:vMerge/>
            <w:vAlign w:val="center"/>
          </w:tcPr>
          <w:p w14:paraId="375B1558" w14:textId="77777777" w:rsidR="002B3025" w:rsidRPr="00DF5598" w:rsidRDefault="002B3025" w:rsidP="00B929BB">
            <w:pPr>
              <w:rPr>
                <w:rFonts w:ascii="Verdana" w:hAnsi="Verdana" w:cs="Arial"/>
                <w:bCs/>
                <w:sz w:val="16"/>
                <w:szCs w:val="16"/>
              </w:rPr>
            </w:pPr>
          </w:p>
        </w:tc>
        <w:tc>
          <w:tcPr>
            <w:tcW w:w="709" w:type="dxa"/>
            <w:vAlign w:val="center"/>
          </w:tcPr>
          <w:p w14:paraId="3C4EAA35"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15.9</w:t>
            </w:r>
          </w:p>
        </w:tc>
        <w:tc>
          <w:tcPr>
            <w:tcW w:w="2186" w:type="dxa"/>
            <w:vAlign w:val="center"/>
          </w:tcPr>
          <w:p w14:paraId="30E499E8"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Agropecuario</w:t>
            </w:r>
          </w:p>
        </w:tc>
        <w:tc>
          <w:tcPr>
            <w:tcW w:w="3455" w:type="dxa"/>
            <w:vMerge/>
            <w:vAlign w:val="center"/>
          </w:tcPr>
          <w:p w14:paraId="4CF12D47" w14:textId="77777777" w:rsidR="002B3025" w:rsidRPr="00DF5598" w:rsidRDefault="002B3025" w:rsidP="00B929BB">
            <w:pPr>
              <w:rPr>
                <w:rFonts w:ascii="Verdana" w:hAnsi="Verdana" w:cs="Arial"/>
                <w:bCs/>
                <w:sz w:val="16"/>
                <w:szCs w:val="16"/>
              </w:rPr>
            </w:pPr>
          </w:p>
        </w:tc>
      </w:tr>
      <w:tr w:rsidR="002E3760" w:rsidRPr="002B3025" w14:paraId="46D1E05A" w14:textId="77777777" w:rsidTr="00DF5598">
        <w:tc>
          <w:tcPr>
            <w:tcW w:w="567" w:type="dxa"/>
            <w:vMerge/>
            <w:vAlign w:val="center"/>
          </w:tcPr>
          <w:p w14:paraId="77A04FBD" w14:textId="77777777" w:rsidR="002B3025" w:rsidRPr="00DF5598" w:rsidRDefault="002B3025" w:rsidP="00B929BB">
            <w:pPr>
              <w:rPr>
                <w:rFonts w:ascii="Verdana" w:hAnsi="Verdana" w:cs="Arial"/>
                <w:bCs/>
                <w:sz w:val="16"/>
                <w:szCs w:val="16"/>
              </w:rPr>
            </w:pPr>
          </w:p>
        </w:tc>
        <w:tc>
          <w:tcPr>
            <w:tcW w:w="1843" w:type="dxa"/>
            <w:vMerge/>
            <w:vAlign w:val="center"/>
          </w:tcPr>
          <w:p w14:paraId="5C200363" w14:textId="77777777" w:rsidR="002B3025" w:rsidRPr="00DF5598" w:rsidRDefault="002B3025" w:rsidP="00B929BB">
            <w:pPr>
              <w:rPr>
                <w:rFonts w:ascii="Verdana" w:hAnsi="Verdana" w:cs="Arial"/>
                <w:bCs/>
                <w:sz w:val="16"/>
                <w:szCs w:val="16"/>
              </w:rPr>
            </w:pPr>
          </w:p>
        </w:tc>
        <w:tc>
          <w:tcPr>
            <w:tcW w:w="709" w:type="dxa"/>
            <w:vAlign w:val="center"/>
          </w:tcPr>
          <w:p w14:paraId="532EE560"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15.10</w:t>
            </w:r>
          </w:p>
        </w:tc>
        <w:tc>
          <w:tcPr>
            <w:tcW w:w="2186" w:type="dxa"/>
            <w:vAlign w:val="center"/>
          </w:tcPr>
          <w:p w14:paraId="492269BE"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Todo riesgo contratista</w:t>
            </w:r>
          </w:p>
        </w:tc>
        <w:tc>
          <w:tcPr>
            <w:tcW w:w="3455" w:type="dxa"/>
            <w:vMerge/>
            <w:vAlign w:val="center"/>
          </w:tcPr>
          <w:p w14:paraId="483F7E02" w14:textId="77777777" w:rsidR="002B3025" w:rsidRPr="00DF5598" w:rsidRDefault="002B3025" w:rsidP="00B929BB">
            <w:pPr>
              <w:rPr>
                <w:rFonts w:ascii="Verdana" w:hAnsi="Verdana" w:cs="Arial"/>
                <w:bCs/>
                <w:sz w:val="16"/>
                <w:szCs w:val="16"/>
              </w:rPr>
            </w:pPr>
          </w:p>
        </w:tc>
      </w:tr>
      <w:tr w:rsidR="002E3760" w:rsidRPr="002B3025" w14:paraId="424039A3" w14:textId="77777777" w:rsidTr="00DF5598">
        <w:tc>
          <w:tcPr>
            <w:tcW w:w="567" w:type="dxa"/>
            <w:vMerge/>
            <w:vAlign w:val="center"/>
          </w:tcPr>
          <w:p w14:paraId="7C98BD6D" w14:textId="77777777" w:rsidR="002B3025" w:rsidRPr="00DF5598" w:rsidRDefault="002B3025" w:rsidP="00B929BB">
            <w:pPr>
              <w:rPr>
                <w:rFonts w:ascii="Verdana" w:hAnsi="Verdana" w:cs="Arial"/>
                <w:bCs/>
                <w:sz w:val="16"/>
                <w:szCs w:val="16"/>
              </w:rPr>
            </w:pPr>
          </w:p>
        </w:tc>
        <w:tc>
          <w:tcPr>
            <w:tcW w:w="1843" w:type="dxa"/>
            <w:vMerge/>
            <w:vAlign w:val="center"/>
          </w:tcPr>
          <w:p w14:paraId="0AA7EB8C" w14:textId="77777777" w:rsidR="002B3025" w:rsidRPr="00DF5598" w:rsidRDefault="002B3025" w:rsidP="00B929BB">
            <w:pPr>
              <w:rPr>
                <w:rFonts w:ascii="Verdana" w:hAnsi="Verdana" w:cs="Arial"/>
                <w:bCs/>
                <w:sz w:val="16"/>
                <w:szCs w:val="16"/>
              </w:rPr>
            </w:pPr>
          </w:p>
        </w:tc>
        <w:tc>
          <w:tcPr>
            <w:tcW w:w="709" w:type="dxa"/>
            <w:vAlign w:val="center"/>
          </w:tcPr>
          <w:p w14:paraId="67041187"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15.11</w:t>
            </w:r>
          </w:p>
        </w:tc>
        <w:tc>
          <w:tcPr>
            <w:tcW w:w="2186" w:type="dxa"/>
            <w:vAlign w:val="center"/>
          </w:tcPr>
          <w:p w14:paraId="222166AD"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Hogar</w:t>
            </w:r>
          </w:p>
        </w:tc>
        <w:tc>
          <w:tcPr>
            <w:tcW w:w="3455" w:type="dxa"/>
            <w:vMerge/>
            <w:vAlign w:val="center"/>
          </w:tcPr>
          <w:p w14:paraId="766CAD45" w14:textId="77777777" w:rsidR="002B3025" w:rsidRPr="00DF5598" w:rsidRDefault="002B3025" w:rsidP="00B929BB">
            <w:pPr>
              <w:rPr>
                <w:rFonts w:ascii="Verdana" w:hAnsi="Verdana" w:cs="Arial"/>
                <w:bCs/>
                <w:sz w:val="16"/>
                <w:szCs w:val="16"/>
              </w:rPr>
            </w:pPr>
          </w:p>
        </w:tc>
      </w:tr>
      <w:tr w:rsidR="002E3760" w:rsidRPr="002B3025" w14:paraId="62910C2E" w14:textId="77777777" w:rsidTr="00DF5598">
        <w:tc>
          <w:tcPr>
            <w:tcW w:w="567" w:type="dxa"/>
            <w:vMerge/>
            <w:vAlign w:val="center"/>
          </w:tcPr>
          <w:p w14:paraId="34EFE893" w14:textId="77777777" w:rsidR="002B3025" w:rsidRPr="00DF5598" w:rsidRDefault="002B3025" w:rsidP="00B929BB">
            <w:pPr>
              <w:rPr>
                <w:rFonts w:ascii="Verdana" w:hAnsi="Verdana" w:cs="Arial"/>
                <w:bCs/>
                <w:sz w:val="16"/>
                <w:szCs w:val="16"/>
              </w:rPr>
            </w:pPr>
          </w:p>
        </w:tc>
        <w:tc>
          <w:tcPr>
            <w:tcW w:w="1843" w:type="dxa"/>
            <w:vMerge/>
            <w:vAlign w:val="center"/>
          </w:tcPr>
          <w:p w14:paraId="72BA1861" w14:textId="77777777" w:rsidR="002B3025" w:rsidRPr="00DF5598" w:rsidRDefault="002B3025" w:rsidP="00B929BB">
            <w:pPr>
              <w:rPr>
                <w:rFonts w:ascii="Verdana" w:hAnsi="Verdana" w:cs="Arial"/>
                <w:bCs/>
                <w:sz w:val="16"/>
                <w:szCs w:val="16"/>
              </w:rPr>
            </w:pPr>
          </w:p>
        </w:tc>
        <w:tc>
          <w:tcPr>
            <w:tcW w:w="709" w:type="dxa"/>
            <w:vAlign w:val="center"/>
          </w:tcPr>
          <w:p w14:paraId="68463E4B"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15.12</w:t>
            </w:r>
          </w:p>
        </w:tc>
        <w:tc>
          <w:tcPr>
            <w:tcW w:w="2186" w:type="dxa"/>
            <w:vAlign w:val="center"/>
          </w:tcPr>
          <w:p w14:paraId="69D0A33A"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Transporte</w:t>
            </w:r>
          </w:p>
        </w:tc>
        <w:tc>
          <w:tcPr>
            <w:tcW w:w="3455" w:type="dxa"/>
            <w:vMerge/>
            <w:vAlign w:val="center"/>
          </w:tcPr>
          <w:p w14:paraId="0412DC10" w14:textId="77777777" w:rsidR="002B3025" w:rsidRPr="00DF5598" w:rsidRDefault="002B3025" w:rsidP="00B929BB">
            <w:pPr>
              <w:rPr>
                <w:rFonts w:ascii="Verdana" w:hAnsi="Verdana" w:cs="Arial"/>
                <w:bCs/>
                <w:sz w:val="16"/>
                <w:szCs w:val="16"/>
              </w:rPr>
            </w:pPr>
          </w:p>
        </w:tc>
      </w:tr>
      <w:tr w:rsidR="002E3760" w:rsidRPr="002B3025" w14:paraId="167C0AE3" w14:textId="77777777" w:rsidTr="00DF5598">
        <w:tc>
          <w:tcPr>
            <w:tcW w:w="567" w:type="dxa"/>
            <w:vMerge/>
            <w:vAlign w:val="center"/>
          </w:tcPr>
          <w:p w14:paraId="718D2DA7" w14:textId="77777777" w:rsidR="002B3025" w:rsidRPr="00DF5598" w:rsidRDefault="002B3025" w:rsidP="00B929BB">
            <w:pPr>
              <w:rPr>
                <w:rFonts w:ascii="Verdana" w:hAnsi="Verdana" w:cs="Arial"/>
                <w:bCs/>
                <w:sz w:val="16"/>
                <w:szCs w:val="16"/>
              </w:rPr>
            </w:pPr>
          </w:p>
        </w:tc>
        <w:tc>
          <w:tcPr>
            <w:tcW w:w="1843" w:type="dxa"/>
            <w:vMerge/>
            <w:vAlign w:val="center"/>
          </w:tcPr>
          <w:p w14:paraId="501D63EA" w14:textId="77777777" w:rsidR="002B3025" w:rsidRPr="00DF5598" w:rsidRDefault="002B3025" w:rsidP="00B929BB">
            <w:pPr>
              <w:rPr>
                <w:rFonts w:ascii="Verdana" w:hAnsi="Verdana" w:cs="Arial"/>
                <w:bCs/>
                <w:sz w:val="16"/>
                <w:szCs w:val="16"/>
              </w:rPr>
            </w:pPr>
          </w:p>
        </w:tc>
        <w:tc>
          <w:tcPr>
            <w:tcW w:w="709" w:type="dxa"/>
            <w:vAlign w:val="center"/>
          </w:tcPr>
          <w:p w14:paraId="128EF8C7"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15.13</w:t>
            </w:r>
          </w:p>
        </w:tc>
        <w:tc>
          <w:tcPr>
            <w:tcW w:w="2186" w:type="dxa"/>
            <w:vAlign w:val="center"/>
          </w:tcPr>
          <w:p w14:paraId="11EAABEF"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Aviación</w:t>
            </w:r>
          </w:p>
        </w:tc>
        <w:tc>
          <w:tcPr>
            <w:tcW w:w="3455" w:type="dxa"/>
            <w:vMerge/>
            <w:vAlign w:val="center"/>
          </w:tcPr>
          <w:p w14:paraId="72D2A7CB" w14:textId="77777777" w:rsidR="002B3025" w:rsidRPr="00DF5598" w:rsidRDefault="002B3025" w:rsidP="00B929BB">
            <w:pPr>
              <w:rPr>
                <w:rFonts w:ascii="Verdana" w:hAnsi="Verdana" w:cs="Arial"/>
                <w:bCs/>
                <w:sz w:val="16"/>
                <w:szCs w:val="16"/>
              </w:rPr>
            </w:pPr>
          </w:p>
        </w:tc>
      </w:tr>
      <w:tr w:rsidR="002E3760" w:rsidRPr="002B3025" w14:paraId="699562EB" w14:textId="77777777" w:rsidTr="00DF5598">
        <w:tc>
          <w:tcPr>
            <w:tcW w:w="567" w:type="dxa"/>
            <w:vMerge/>
            <w:vAlign w:val="center"/>
          </w:tcPr>
          <w:p w14:paraId="2FBA6EEC" w14:textId="77777777" w:rsidR="002B3025" w:rsidRPr="00DF5598" w:rsidRDefault="002B3025" w:rsidP="00B929BB">
            <w:pPr>
              <w:rPr>
                <w:rFonts w:ascii="Verdana" w:hAnsi="Verdana" w:cs="Arial"/>
                <w:bCs/>
                <w:sz w:val="16"/>
                <w:szCs w:val="16"/>
              </w:rPr>
            </w:pPr>
          </w:p>
        </w:tc>
        <w:tc>
          <w:tcPr>
            <w:tcW w:w="1843" w:type="dxa"/>
            <w:vMerge/>
            <w:vAlign w:val="center"/>
          </w:tcPr>
          <w:p w14:paraId="1E3E2004" w14:textId="77777777" w:rsidR="002B3025" w:rsidRPr="00DF5598" w:rsidRDefault="002B3025" w:rsidP="00B929BB">
            <w:pPr>
              <w:rPr>
                <w:rFonts w:ascii="Verdana" w:hAnsi="Verdana" w:cs="Arial"/>
                <w:bCs/>
                <w:sz w:val="16"/>
                <w:szCs w:val="16"/>
              </w:rPr>
            </w:pPr>
          </w:p>
        </w:tc>
        <w:tc>
          <w:tcPr>
            <w:tcW w:w="709" w:type="dxa"/>
            <w:vAlign w:val="center"/>
          </w:tcPr>
          <w:p w14:paraId="505EE97B"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15.14</w:t>
            </w:r>
          </w:p>
        </w:tc>
        <w:tc>
          <w:tcPr>
            <w:tcW w:w="2186" w:type="dxa"/>
            <w:vAlign w:val="center"/>
          </w:tcPr>
          <w:p w14:paraId="642FFE14"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Navegación y casco</w:t>
            </w:r>
          </w:p>
        </w:tc>
        <w:tc>
          <w:tcPr>
            <w:tcW w:w="3455" w:type="dxa"/>
            <w:vMerge/>
            <w:vAlign w:val="center"/>
          </w:tcPr>
          <w:p w14:paraId="203342C6" w14:textId="77777777" w:rsidR="002B3025" w:rsidRPr="00DF5598" w:rsidRDefault="002B3025" w:rsidP="00B929BB">
            <w:pPr>
              <w:rPr>
                <w:rFonts w:ascii="Verdana" w:hAnsi="Verdana" w:cs="Arial"/>
                <w:bCs/>
                <w:sz w:val="16"/>
                <w:szCs w:val="16"/>
              </w:rPr>
            </w:pPr>
          </w:p>
        </w:tc>
      </w:tr>
      <w:tr w:rsidR="002E3760" w:rsidRPr="002B3025" w14:paraId="24A700E9" w14:textId="77777777" w:rsidTr="00DF5598">
        <w:tc>
          <w:tcPr>
            <w:tcW w:w="567" w:type="dxa"/>
            <w:vMerge/>
            <w:vAlign w:val="center"/>
          </w:tcPr>
          <w:p w14:paraId="2300CC08" w14:textId="77777777" w:rsidR="002B3025" w:rsidRPr="00DF5598" w:rsidRDefault="002B3025" w:rsidP="00B929BB">
            <w:pPr>
              <w:rPr>
                <w:rFonts w:ascii="Verdana" w:hAnsi="Verdana" w:cs="Arial"/>
                <w:bCs/>
                <w:sz w:val="16"/>
                <w:szCs w:val="16"/>
              </w:rPr>
            </w:pPr>
          </w:p>
        </w:tc>
        <w:tc>
          <w:tcPr>
            <w:tcW w:w="1843" w:type="dxa"/>
            <w:vMerge/>
            <w:vAlign w:val="center"/>
          </w:tcPr>
          <w:p w14:paraId="70A00FA4" w14:textId="77777777" w:rsidR="002B3025" w:rsidRPr="00DF5598" w:rsidRDefault="002B3025" w:rsidP="00B929BB">
            <w:pPr>
              <w:rPr>
                <w:rFonts w:ascii="Verdana" w:hAnsi="Verdana" w:cs="Arial"/>
                <w:bCs/>
                <w:sz w:val="16"/>
                <w:szCs w:val="16"/>
              </w:rPr>
            </w:pPr>
          </w:p>
        </w:tc>
        <w:tc>
          <w:tcPr>
            <w:tcW w:w="709" w:type="dxa"/>
            <w:vAlign w:val="center"/>
          </w:tcPr>
          <w:p w14:paraId="47850462"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15.15</w:t>
            </w:r>
          </w:p>
        </w:tc>
        <w:tc>
          <w:tcPr>
            <w:tcW w:w="2186" w:type="dxa"/>
            <w:vAlign w:val="center"/>
          </w:tcPr>
          <w:p w14:paraId="5505FC8A"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Terremoto</w:t>
            </w:r>
          </w:p>
        </w:tc>
        <w:tc>
          <w:tcPr>
            <w:tcW w:w="3455" w:type="dxa"/>
            <w:vMerge/>
            <w:vAlign w:val="center"/>
          </w:tcPr>
          <w:p w14:paraId="61B62B46" w14:textId="77777777" w:rsidR="002B3025" w:rsidRPr="00DF5598" w:rsidRDefault="002B3025" w:rsidP="00B929BB">
            <w:pPr>
              <w:rPr>
                <w:rFonts w:ascii="Verdana" w:hAnsi="Verdana" w:cs="Arial"/>
                <w:bCs/>
                <w:sz w:val="16"/>
                <w:szCs w:val="16"/>
              </w:rPr>
            </w:pPr>
          </w:p>
        </w:tc>
      </w:tr>
      <w:tr w:rsidR="002E3760" w:rsidRPr="002B3025" w14:paraId="1B94BAEB" w14:textId="77777777" w:rsidTr="00DF5598">
        <w:tc>
          <w:tcPr>
            <w:tcW w:w="567" w:type="dxa"/>
            <w:vMerge w:val="restart"/>
            <w:vAlign w:val="center"/>
          </w:tcPr>
          <w:p w14:paraId="35DAB460"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16</w:t>
            </w:r>
          </w:p>
        </w:tc>
        <w:tc>
          <w:tcPr>
            <w:tcW w:w="1843" w:type="dxa"/>
            <w:vMerge w:val="restart"/>
            <w:vAlign w:val="center"/>
          </w:tcPr>
          <w:p w14:paraId="22469687"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Seguros Patrimoniales y de Responsabilidad</w:t>
            </w:r>
          </w:p>
        </w:tc>
        <w:tc>
          <w:tcPr>
            <w:tcW w:w="709" w:type="dxa"/>
            <w:vAlign w:val="center"/>
          </w:tcPr>
          <w:p w14:paraId="09096FBF"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16.1</w:t>
            </w:r>
          </w:p>
        </w:tc>
        <w:tc>
          <w:tcPr>
            <w:tcW w:w="2186" w:type="dxa"/>
            <w:vAlign w:val="center"/>
          </w:tcPr>
          <w:p w14:paraId="4A10966D"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Cumplimiento</w:t>
            </w:r>
          </w:p>
        </w:tc>
        <w:tc>
          <w:tcPr>
            <w:tcW w:w="3455" w:type="dxa"/>
            <w:vMerge w:val="restart"/>
            <w:vAlign w:val="center"/>
          </w:tcPr>
          <w:p w14:paraId="7967BB98"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Celebración de contratos de seguros patrimoniales y de responsabilidad en los ramos señalados en el nivel 2.</w:t>
            </w:r>
          </w:p>
        </w:tc>
      </w:tr>
      <w:tr w:rsidR="002E3760" w:rsidRPr="002B3025" w14:paraId="28EFE4F8" w14:textId="77777777" w:rsidTr="00DF5598">
        <w:tc>
          <w:tcPr>
            <w:tcW w:w="567" w:type="dxa"/>
            <w:vMerge/>
            <w:vAlign w:val="center"/>
          </w:tcPr>
          <w:p w14:paraId="33D39739" w14:textId="77777777" w:rsidR="002B3025" w:rsidRPr="00DF5598" w:rsidRDefault="002B3025" w:rsidP="00B929BB">
            <w:pPr>
              <w:rPr>
                <w:rFonts w:ascii="Verdana" w:hAnsi="Verdana" w:cs="Arial"/>
                <w:bCs/>
                <w:sz w:val="16"/>
                <w:szCs w:val="16"/>
              </w:rPr>
            </w:pPr>
          </w:p>
        </w:tc>
        <w:tc>
          <w:tcPr>
            <w:tcW w:w="1843" w:type="dxa"/>
            <w:vMerge/>
            <w:vAlign w:val="center"/>
          </w:tcPr>
          <w:p w14:paraId="575D34FB" w14:textId="77777777" w:rsidR="002B3025" w:rsidRPr="00DF5598" w:rsidRDefault="002B3025" w:rsidP="00B929BB">
            <w:pPr>
              <w:rPr>
                <w:rFonts w:ascii="Verdana" w:hAnsi="Verdana" w:cs="Arial"/>
                <w:bCs/>
                <w:sz w:val="16"/>
                <w:szCs w:val="16"/>
              </w:rPr>
            </w:pPr>
          </w:p>
        </w:tc>
        <w:tc>
          <w:tcPr>
            <w:tcW w:w="709" w:type="dxa"/>
            <w:vAlign w:val="center"/>
          </w:tcPr>
          <w:p w14:paraId="2DC661C5"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16.2</w:t>
            </w:r>
          </w:p>
        </w:tc>
        <w:tc>
          <w:tcPr>
            <w:tcW w:w="2186" w:type="dxa"/>
            <w:vAlign w:val="center"/>
          </w:tcPr>
          <w:p w14:paraId="2EA17B37"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Manejo</w:t>
            </w:r>
          </w:p>
        </w:tc>
        <w:tc>
          <w:tcPr>
            <w:tcW w:w="3455" w:type="dxa"/>
            <w:vMerge/>
            <w:vAlign w:val="center"/>
          </w:tcPr>
          <w:p w14:paraId="0400ACC0" w14:textId="77777777" w:rsidR="002B3025" w:rsidRPr="00DF5598" w:rsidRDefault="002B3025" w:rsidP="00B929BB">
            <w:pPr>
              <w:rPr>
                <w:rFonts w:ascii="Verdana" w:hAnsi="Verdana" w:cs="Arial"/>
                <w:bCs/>
                <w:sz w:val="16"/>
                <w:szCs w:val="16"/>
              </w:rPr>
            </w:pPr>
          </w:p>
        </w:tc>
      </w:tr>
      <w:tr w:rsidR="002E3760" w:rsidRPr="002B3025" w14:paraId="6D0C3964" w14:textId="77777777" w:rsidTr="00DF5598">
        <w:tc>
          <w:tcPr>
            <w:tcW w:w="567" w:type="dxa"/>
            <w:vMerge/>
            <w:vAlign w:val="center"/>
          </w:tcPr>
          <w:p w14:paraId="162FBFCF" w14:textId="77777777" w:rsidR="002B3025" w:rsidRPr="00DF5598" w:rsidRDefault="002B3025" w:rsidP="00B929BB">
            <w:pPr>
              <w:rPr>
                <w:rFonts w:ascii="Verdana" w:hAnsi="Verdana" w:cs="Arial"/>
                <w:bCs/>
                <w:sz w:val="16"/>
                <w:szCs w:val="16"/>
              </w:rPr>
            </w:pPr>
          </w:p>
        </w:tc>
        <w:tc>
          <w:tcPr>
            <w:tcW w:w="1843" w:type="dxa"/>
            <w:vMerge/>
            <w:vAlign w:val="center"/>
          </w:tcPr>
          <w:p w14:paraId="40DE2724" w14:textId="77777777" w:rsidR="002B3025" w:rsidRPr="00DF5598" w:rsidRDefault="002B3025" w:rsidP="00B929BB">
            <w:pPr>
              <w:rPr>
                <w:rFonts w:ascii="Verdana" w:hAnsi="Verdana" w:cs="Arial"/>
                <w:bCs/>
                <w:sz w:val="16"/>
                <w:szCs w:val="16"/>
              </w:rPr>
            </w:pPr>
          </w:p>
        </w:tc>
        <w:tc>
          <w:tcPr>
            <w:tcW w:w="709" w:type="dxa"/>
            <w:vAlign w:val="center"/>
          </w:tcPr>
          <w:p w14:paraId="259059BC"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16.3</w:t>
            </w:r>
          </w:p>
        </w:tc>
        <w:tc>
          <w:tcPr>
            <w:tcW w:w="2186" w:type="dxa"/>
            <w:vAlign w:val="center"/>
          </w:tcPr>
          <w:p w14:paraId="2DCF49FB"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Desempleo</w:t>
            </w:r>
          </w:p>
        </w:tc>
        <w:tc>
          <w:tcPr>
            <w:tcW w:w="3455" w:type="dxa"/>
            <w:vMerge/>
            <w:vAlign w:val="center"/>
          </w:tcPr>
          <w:p w14:paraId="0455DD02" w14:textId="77777777" w:rsidR="002B3025" w:rsidRPr="00DF5598" w:rsidRDefault="002B3025" w:rsidP="00B929BB">
            <w:pPr>
              <w:rPr>
                <w:rFonts w:ascii="Verdana" w:hAnsi="Verdana" w:cs="Arial"/>
                <w:bCs/>
                <w:sz w:val="16"/>
                <w:szCs w:val="16"/>
              </w:rPr>
            </w:pPr>
          </w:p>
        </w:tc>
      </w:tr>
      <w:tr w:rsidR="002E3760" w:rsidRPr="002B3025" w14:paraId="5A0AE51A" w14:textId="77777777" w:rsidTr="00DF5598">
        <w:tc>
          <w:tcPr>
            <w:tcW w:w="567" w:type="dxa"/>
            <w:vMerge/>
            <w:vAlign w:val="center"/>
          </w:tcPr>
          <w:p w14:paraId="09029CDB" w14:textId="77777777" w:rsidR="002B3025" w:rsidRPr="00DF5598" w:rsidRDefault="002B3025" w:rsidP="00B929BB">
            <w:pPr>
              <w:rPr>
                <w:rFonts w:ascii="Verdana" w:hAnsi="Verdana" w:cs="Arial"/>
                <w:bCs/>
                <w:sz w:val="16"/>
                <w:szCs w:val="16"/>
              </w:rPr>
            </w:pPr>
          </w:p>
        </w:tc>
        <w:tc>
          <w:tcPr>
            <w:tcW w:w="1843" w:type="dxa"/>
            <w:vMerge/>
            <w:vAlign w:val="center"/>
          </w:tcPr>
          <w:p w14:paraId="444823D9" w14:textId="77777777" w:rsidR="002B3025" w:rsidRPr="00DF5598" w:rsidRDefault="002B3025" w:rsidP="00B929BB">
            <w:pPr>
              <w:rPr>
                <w:rFonts w:ascii="Verdana" w:hAnsi="Verdana" w:cs="Arial"/>
                <w:bCs/>
                <w:sz w:val="16"/>
                <w:szCs w:val="16"/>
              </w:rPr>
            </w:pPr>
          </w:p>
        </w:tc>
        <w:tc>
          <w:tcPr>
            <w:tcW w:w="709" w:type="dxa"/>
            <w:vAlign w:val="center"/>
          </w:tcPr>
          <w:p w14:paraId="1E940EB5"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16.4</w:t>
            </w:r>
          </w:p>
        </w:tc>
        <w:tc>
          <w:tcPr>
            <w:tcW w:w="2186" w:type="dxa"/>
            <w:vAlign w:val="center"/>
          </w:tcPr>
          <w:p w14:paraId="3104E52F"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Responsabilidad civil</w:t>
            </w:r>
          </w:p>
        </w:tc>
        <w:tc>
          <w:tcPr>
            <w:tcW w:w="3455" w:type="dxa"/>
            <w:vMerge/>
            <w:vAlign w:val="center"/>
          </w:tcPr>
          <w:p w14:paraId="23D91517" w14:textId="77777777" w:rsidR="002B3025" w:rsidRPr="00DF5598" w:rsidRDefault="002B3025" w:rsidP="00B929BB">
            <w:pPr>
              <w:rPr>
                <w:rFonts w:ascii="Verdana" w:hAnsi="Verdana" w:cs="Arial"/>
                <w:bCs/>
                <w:sz w:val="16"/>
                <w:szCs w:val="16"/>
              </w:rPr>
            </w:pPr>
          </w:p>
        </w:tc>
      </w:tr>
      <w:tr w:rsidR="002E3760" w:rsidRPr="002B3025" w14:paraId="012211A7" w14:textId="77777777" w:rsidTr="00DF5598">
        <w:tc>
          <w:tcPr>
            <w:tcW w:w="567" w:type="dxa"/>
            <w:vMerge/>
            <w:vAlign w:val="center"/>
          </w:tcPr>
          <w:p w14:paraId="6F03F6CD" w14:textId="77777777" w:rsidR="002B3025" w:rsidRPr="00DF5598" w:rsidRDefault="002B3025" w:rsidP="00B929BB">
            <w:pPr>
              <w:rPr>
                <w:rFonts w:ascii="Verdana" w:hAnsi="Verdana" w:cs="Arial"/>
                <w:bCs/>
                <w:sz w:val="16"/>
                <w:szCs w:val="16"/>
              </w:rPr>
            </w:pPr>
          </w:p>
        </w:tc>
        <w:tc>
          <w:tcPr>
            <w:tcW w:w="1843" w:type="dxa"/>
            <w:vMerge/>
            <w:vAlign w:val="center"/>
          </w:tcPr>
          <w:p w14:paraId="062006F2" w14:textId="77777777" w:rsidR="002B3025" w:rsidRPr="00DF5598" w:rsidRDefault="002B3025" w:rsidP="00B929BB">
            <w:pPr>
              <w:rPr>
                <w:rFonts w:ascii="Verdana" w:hAnsi="Verdana" w:cs="Arial"/>
                <w:bCs/>
                <w:sz w:val="16"/>
                <w:szCs w:val="16"/>
              </w:rPr>
            </w:pPr>
          </w:p>
        </w:tc>
        <w:tc>
          <w:tcPr>
            <w:tcW w:w="709" w:type="dxa"/>
            <w:vAlign w:val="center"/>
          </w:tcPr>
          <w:p w14:paraId="15B717C1"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16.5</w:t>
            </w:r>
          </w:p>
        </w:tc>
        <w:tc>
          <w:tcPr>
            <w:tcW w:w="2186" w:type="dxa"/>
            <w:vAlign w:val="center"/>
          </w:tcPr>
          <w:p w14:paraId="2C17168A"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Crédito comercial</w:t>
            </w:r>
          </w:p>
        </w:tc>
        <w:tc>
          <w:tcPr>
            <w:tcW w:w="3455" w:type="dxa"/>
            <w:vMerge/>
            <w:vAlign w:val="center"/>
          </w:tcPr>
          <w:p w14:paraId="0CC8744B" w14:textId="77777777" w:rsidR="002B3025" w:rsidRPr="00DF5598" w:rsidRDefault="002B3025" w:rsidP="00B929BB">
            <w:pPr>
              <w:rPr>
                <w:rFonts w:ascii="Verdana" w:hAnsi="Verdana" w:cs="Arial"/>
                <w:bCs/>
                <w:sz w:val="16"/>
                <w:szCs w:val="16"/>
              </w:rPr>
            </w:pPr>
          </w:p>
        </w:tc>
      </w:tr>
      <w:tr w:rsidR="002E3760" w:rsidRPr="002B3025" w14:paraId="642CE40C" w14:textId="77777777" w:rsidTr="00DF5598">
        <w:tc>
          <w:tcPr>
            <w:tcW w:w="567" w:type="dxa"/>
            <w:vMerge/>
            <w:vAlign w:val="center"/>
          </w:tcPr>
          <w:p w14:paraId="130BF42F" w14:textId="77777777" w:rsidR="002B3025" w:rsidRPr="00DF5598" w:rsidRDefault="002B3025" w:rsidP="00B929BB">
            <w:pPr>
              <w:rPr>
                <w:rFonts w:ascii="Verdana" w:hAnsi="Verdana" w:cs="Arial"/>
                <w:bCs/>
                <w:sz w:val="16"/>
                <w:szCs w:val="16"/>
              </w:rPr>
            </w:pPr>
          </w:p>
        </w:tc>
        <w:tc>
          <w:tcPr>
            <w:tcW w:w="1843" w:type="dxa"/>
            <w:vMerge/>
            <w:vAlign w:val="center"/>
          </w:tcPr>
          <w:p w14:paraId="4CA3719C" w14:textId="77777777" w:rsidR="002B3025" w:rsidRPr="00DF5598" w:rsidRDefault="002B3025" w:rsidP="00B929BB">
            <w:pPr>
              <w:rPr>
                <w:rFonts w:ascii="Verdana" w:hAnsi="Verdana" w:cs="Arial"/>
                <w:bCs/>
                <w:sz w:val="16"/>
                <w:szCs w:val="16"/>
              </w:rPr>
            </w:pPr>
          </w:p>
        </w:tc>
        <w:tc>
          <w:tcPr>
            <w:tcW w:w="709" w:type="dxa"/>
            <w:vAlign w:val="center"/>
          </w:tcPr>
          <w:p w14:paraId="354A5E67"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16.6</w:t>
            </w:r>
          </w:p>
        </w:tc>
        <w:tc>
          <w:tcPr>
            <w:tcW w:w="2186" w:type="dxa"/>
            <w:vAlign w:val="center"/>
          </w:tcPr>
          <w:p w14:paraId="011466CB"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Crédito a la exportación</w:t>
            </w:r>
          </w:p>
        </w:tc>
        <w:tc>
          <w:tcPr>
            <w:tcW w:w="3455" w:type="dxa"/>
            <w:vMerge/>
            <w:vAlign w:val="center"/>
          </w:tcPr>
          <w:p w14:paraId="06B83744" w14:textId="77777777" w:rsidR="002B3025" w:rsidRPr="00DF5598" w:rsidRDefault="002B3025" w:rsidP="00B929BB">
            <w:pPr>
              <w:rPr>
                <w:rFonts w:ascii="Verdana" w:hAnsi="Verdana" w:cs="Arial"/>
                <w:bCs/>
                <w:sz w:val="16"/>
                <w:szCs w:val="16"/>
              </w:rPr>
            </w:pPr>
          </w:p>
        </w:tc>
      </w:tr>
      <w:tr w:rsidR="002E3760" w:rsidRPr="002B3025" w14:paraId="3156879A" w14:textId="77777777" w:rsidTr="00DF5598">
        <w:tc>
          <w:tcPr>
            <w:tcW w:w="567" w:type="dxa"/>
            <w:vAlign w:val="center"/>
          </w:tcPr>
          <w:p w14:paraId="29359C7B"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17</w:t>
            </w:r>
          </w:p>
        </w:tc>
        <w:tc>
          <w:tcPr>
            <w:tcW w:w="1843" w:type="dxa"/>
            <w:vAlign w:val="center"/>
          </w:tcPr>
          <w:p w14:paraId="08C0DD13"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Reaseguros</w:t>
            </w:r>
          </w:p>
        </w:tc>
        <w:tc>
          <w:tcPr>
            <w:tcW w:w="709" w:type="dxa"/>
            <w:vAlign w:val="center"/>
          </w:tcPr>
          <w:p w14:paraId="69EDD2D4"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17.1</w:t>
            </w:r>
          </w:p>
        </w:tc>
        <w:tc>
          <w:tcPr>
            <w:tcW w:w="2186" w:type="dxa"/>
            <w:vAlign w:val="center"/>
          </w:tcPr>
          <w:p w14:paraId="63BE004E"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Actividad de Reaseguros</w:t>
            </w:r>
          </w:p>
        </w:tc>
        <w:tc>
          <w:tcPr>
            <w:tcW w:w="3455" w:type="dxa"/>
            <w:vAlign w:val="center"/>
          </w:tcPr>
          <w:p w14:paraId="0B1EA2C1"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Asunción de riesgos derivados de contratos de reaseguro.</w:t>
            </w:r>
          </w:p>
        </w:tc>
      </w:tr>
      <w:tr w:rsidR="002E3760" w:rsidRPr="002B3025" w14:paraId="27AAF4E0" w14:textId="77777777" w:rsidTr="00DF5598">
        <w:tc>
          <w:tcPr>
            <w:tcW w:w="567" w:type="dxa"/>
            <w:vMerge w:val="restart"/>
            <w:vAlign w:val="center"/>
          </w:tcPr>
          <w:p w14:paraId="5F9CEF57"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18</w:t>
            </w:r>
          </w:p>
        </w:tc>
        <w:tc>
          <w:tcPr>
            <w:tcW w:w="1843" w:type="dxa"/>
            <w:vMerge w:val="restart"/>
            <w:vAlign w:val="center"/>
          </w:tcPr>
          <w:p w14:paraId="2296D8FD"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Actividades No Financieras</w:t>
            </w:r>
          </w:p>
        </w:tc>
        <w:tc>
          <w:tcPr>
            <w:tcW w:w="709" w:type="dxa"/>
            <w:vAlign w:val="center"/>
          </w:tcPr>
          <w:p w14:paraId="100F2978"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18.1</w:t>
            </w:r>
          </w:p>
        </w:tc>
        <w:tc>
          <w:tcPr>
            <w:tcW w:w="2186" w:type="dxa"/>
            <w:vAlign w:val="center"/>
          </w:tcPr>
          <w:p w14:paraId="30B6A5FB"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 xml:space="preserve">Servicios Tecnológicos </w:t>
            </w:r>
          </w:p>
        </w:tc>
        <w:tc>
          <w:tcPr>
            <w:tcW w:w="3455" w:type="dxa"/>
            <w:vAlign w:val="center"/>
          </w:tcPr>
          <w:p w14:paraId="6A0A494D"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 xml:space="preserve">Prestación de servicios tecnológicos (hardware, software y telecomunicaciones) por parte de la entidad a personas naturales o jurídicas. </w:t>
            </w:r>
          </w:p>
        </w:tc>
      </w:tr>
      <w:tr w:rsidR="002E3760" w:rsidRPr="002B3025" w14:paraId="04C99D81" w14:textId="77777777" w:rsidTr="00DF5598">
        <w:tc>
          <w:tcPr>
            <w:tcW w:w="567" w:type="dxa"/>
            <w:vMerge/>
            <w:vAlign w:val="center"/>
          </w:tcPr>
          <w:p w14:paraId="64811069" w14:textId="77777777" w:rsidR="002B3025" w:rsidRPr="00DF5598" w:rsidRDefault="002B3025" w:rsidP="00B929BB">
            <w:pPr>
              <w:rPr>
                <w:rFonts w:ascii="Verdana" w:hAnsi="Verdana" w:cs="Arial"/>
                <w:bCs/>
                <w:sz w:val="16"/>
                <w:szCs w:val="16"/>
              </w:rPr>
            </w:pPr>
          </w:p>
        </w:tc>
        <w:tc>
          <w:tcPr>
            <w:tcW w:w="1843" w:type="dxa"/>
            <w:vMerge/>
            <w:vAlign w:val="center"/>
          </w:tcPr>
          <w:p w14:paraId="465F8095" w14:textId="77777777" w:rsidR="002B3025" w:rsidRPr="00DF5598" w:rsidRDefault="002B3025" w:rsidP="00B929BB">
            <w:pPr>
              <w:rPr>
                <w:rFonts w:ascii="Verdana" w:hAnsi="Verdana" w:cs="Arial"/>
                <w:bCs/>
                <w:sz w:val="16"/>
                <w:szCs w:val="16"/>
              </w:rPr>
            </w:pPr>
          </w:p>
        </w:tc>
        <w:tc>
          <w:tcPr>
            <w:tcW w:w="709" w:type="dxa"/>
            <w:vAlign w:val="center"/>
          </w:tcPr>
          <w:p w14:paraId="58D4B84F"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18.2</w:t>
            </w:r>
          </w:p>
        </w:tc>
        <w:tc>
          <w:tcPr>
            <w:tcW w:w="2186" w:type="dxa"/>
            <w:vAlign w:val="center"/>
          </w:tcPr>
          <w:p w14:paraId="73AF82EA"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Servicios Generales</w:t>
            </w:r>
          </w:p>
        </w:tc>
        <w:tc>
          <w:tcPr>
            <w:tcW w:w="3455" w:type="dxa"/>
            <w:vAlign w:val="center"/>
          </w:tcPr>
          <w:p w14:paraId="2F3E5181" w14:textId="11D35F0E" w:rsidR="002B3025" w:rsidRPr="00DF5598" w:rsidRDefault="002B3025" w:rsidP="12B437D6">
            <w:pPr>
              <w:jc w:val="both"/>
              <w:rPr>
                <w:rFonts w:ascii="Verdana" w:hAnsi="Verdana" w:cs="Arial"/>
                <w:sz w:val="16"/>
                <w:szCs w:val="16"/>
              </w:rPr>
            </w:pPr>
            <w:r w:rsidRPr="00DF5598">
              <w:rPr>
                <w:rFonts w:ascii="Verdana" w:hAnsi="Verdana" w:cs="Arial"/>
                <w:sz w:val="16"/>
                <w:szCs w:val="16"/>
              </w:rPr>
              <w:t>Servicios y productos de carácter general ofrecidos a personas naturales y jurídicas, que no pueden catalogarse en ninguna de las líneas preestablecidas y que no tienen una relación directa con servicios tecnológicos o aduaneros.</w:t>
            </w:r>
          </w:p>
        </w:tc>
      </w:tr>
      <w:tr w:rsidR="002E3760" w:rsidRPr="002B3025" w14:paraId="507B80AE" w14:textId="77777777" w:rsidTr="00DF5598">
        <w:tc>
          <w:tcPr>
            <w:tcW w:w="567" w:type="dxa"/>
            <w:vMerge/>
            <w:vAlign w:val="center"/>
          </w:tcPr>
          <w:p w14:paraId="45AC16F5" w14:textId="77777777" w:rsidR="002B3025" w:rsidRPr="00DF5598" w:rsidRDefault="002B3025" w:rsidP="00B929BB">
            <w:pPr>
              <w:rPr>
                <w:rFonts w:ascii="Verdana" w:hAnsi="Verdana" w:cs="Arial"/>
                <w:bCs/>
                <w:sz w:val="16"/>
                <w:szCs w:val="16"/>
              </w:rPr>
            </w:pPr>
          </w:p>
        </w:tc>
        <w:tc>
          <w:tcPr>
            <w:tcW w:w="1843" w:type="dxa"/>
            <w:vMerge/>
            <w:vAlign w:val="center"/>
          </w:tcPr>
          <w:p w14:paraId="75F99E93" w14:textId="77777777" w:rsidR="002B3025" w:rsidRPr="00DF5598" w:rsidRDefault="002B3025" w:rsidP="00B929BB">
            <w:pPr>
              <w:rPr>
                <w:rFonts w:ascii="Verdana" w:hAnsi="Verdana" w:cs="Arial"/>
                <w:bCs/>
                <w:sz w:val="16"/>
                <w:szCs w:val="16"/>
              </w:rPr>
            </w:pPr>
          </w:p>
        </w:tc>
        <w:tc>
          <w:tcPr>
            <w:tcW w:w="709" w:type="dxa"/>
            <w:vAlign w:val="center"/>
          </w:tcPr>
          <w:p w14:paraId="04456AFC"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18.3</w:t>
            </w:r>
          </w:p>
        </w:tc>
        <w:tc>
          <w:tcPr>
            <w:tcW w:w="2186" w:type="dxa"/>
            <w:vAlign w:val="center"/>
          </w:tcPr>
          <w:p w14:paraId="76260981"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Servicios Aduaneros</w:t>
            </w:r>
          </w:p>
        </w:tc>
        <w:tc>
          <w:tcPr>
            <w:tcW w:w="3455" w:type="dxa"/>
            <w:vAlign w:val="center"/>
          </w:tcPr>
          <w:p w14:paraId="2C479067"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Intermediación aduanera en los diferentes procesos y modalidades de comercio internacional.</w:t>
            </w:r>
          </w:p>
        </w:tc>
      </w:tr>
      <w:tr w:rsidR="002E3760" w:rsidRPr="002B3025" w14:paraId="791E6D07" w14:textId="77777777" w:rsidTr="00DF5598">
        <w:tc>
          <w:tcPr>
            <w:tcW w:w="567" w:type="dxa"/>
            <w:vAlign w:val="center"/>
          </w:tcPr>
          <w:p w14:paraId="2D047512"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19</w:t>
            </w:r>
          </w:p>
        </w:tc>
        <w:tc>
          <w:tcPr>
            <w:tcW w:w="1843" w:type="dxa"/>
            <w:vAlign w:val="center"/>
          </w:tcPr>
          <w:p w14:paraId="1F0BEF8F"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Actividades Institucionales</w:t>
            </w:r>
          </w:p>
        </w:tc>
        <w:tc>
          <w:tcPr>
            <w:tcW w:w="709" w:type="dxa"/>
            <w:vAlign w:val="center"/>
          </w:tcPr>
          <w:p w14:paraId="27F20762"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19.1</w:t>
            </w:r>
          </w:p>
        </w:tc>
        <w:tc>
          <w:tcPr>
            <w:tcW w:w="2186" w:type="dxa"/>
            <w:vAlign w:val="center"/>
          </w:tcPr>
          <w:p w14:paraId="0B120A8E"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Institucionales</w:t>
            </w:r>
          </w:p>
        </w:tc>
        <w:tc>
          <w:tcPr>
            <w:tcW w:w="3455" w:type="dxa"/>
            <w:vAlign w:val="center"/>
          </w:tcPr>
          <w:p w14:paraId="4E2B95CB"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Actividades que no pueden ser catalogadas en ninguna línea operativa de las señaladas y que están relacionadas con el funcionamiento administrativo, de apoyo de la entidad o las funciones de control.</w:t>
            </w:r>
          </w:p>
        </w:tc>
      </w:tr>
    </w:tbl>
    <w:p w14:paraId="3DCB4D81" w14:textId="77777777" w:rsidR="00936124" w:rsidRDefault="00936124" w:rsidP="000743A7">
      <w:pPr>
        <w:spacing w:after="0"/>
        <w:rPr>
          <w:rFonts w:ascii="Verdana" w:hAnsi="Verdana"/>
          <w:sz w:val="20"/>
          <w:szCs w:val="20"/>
        </w:rPr>
      </w:pPr>
    </w:p>
    <w:p w14:paraId="2837104D" w14:textId="06DF1AC3" w:rsidR="000743A7" w:rsidRPr="001C6CAB" w:rsidRDefault="000743A7" w:rsidP="000743A7">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B73C9A">
        <w:rPr>
          <w:rFonts w:ascii="Verdana" w:hAnsi="Verdana"/>
          <w:sz w:val="20"/>
          <w:szCs w:val="20"/>
        </w:rPr>
        <w:t>4</w:t>
      </w:r>
      <w:r w:rsidR="00B42F68">
        <w:rPr>
          <w:rFonts w:ascii="Verdana" w:hAnsi="Verdana"/>
          <w:sz w:val="20"/>
          <w:szCs w:val="20"/>
        </w:rPr>
        <w:t>5</w:t>
      </w:r>
      <w:r w:rsidRPr="001C6CAB">
        <w:rPr>
          <w:rFonts w:ascii="Verdana" w:hAnsi="Verdana"/>
          <w:sz w:val="20"/>
          <w:szCs w:val="20"/>
        </w:rPr>
        <w:t>.</w:t>
      </w:r>
    </w:p>
    <w:p w14:paraId="6401693E" w14:textId="17C10840" w:rsidR="002B3025" w:rsidRPr="002B3025" w:rsidRDefault="00E43092" w:rsidP="00B929BB">
      <w:pPr>
        <w:pStyle w:val="Textoindependiente"/>
        <w:rPr>
          <w:rFonts w:ascii="Verdana" w:hAnsi="Verdana" w:cs="Arial"/>
          <w:bCs/>
          <w:sz w:val="20"/>
        </w:rPr>
      </w:pPr>
      <w:r>
        <w:rPr>
          <w:rFonts w:ascii="Verdana" w:hAnsi="Verdana" w:cs="Arial"/>
          <w:bCs/>
          <w:sz w:val="20"/>
        </w:rPr>
        <w:t>T</w:t>
      </w:r>
      <w:r w:rsidR="002B3025" w:rsidRPr="002B3025">
        <w:rPr>
          <w:rFonts w:ascii="Verdana" w:hAnsi="Verdana" w:cs="Arial"/>
          <w:bCs/>
          <w:sz w:val="20"/>
        </w:rPr>
        <w:t>odas las actividades incluidas en la clasificación, excepto las líneas operativas número 2 “Emisión, Negociación y Ventas” y número 19 “Actividades Institucionales”, son desarrolladas directamente con clientes y/o usuarios.</w:t>
      </w:r>
    </w:p>
    <w:p w14:paraId="3E6858B5" w14:textId="252884B0" w:rsidR="00936124" w:rsidRPr="00936124" w:rsidRDefault="00936124" w:rsidP="00B929BB">
      <w:pPr>
        <w:pStyle w:val="Textoindependiente"/>
        <w:rPr>
          <w:rFonts w:ascii="Verdana" w:hAnsi="Verdana" w:cs="Arial"/>
          <w:bCs/>
          <w:sz w:val="20"/>
        </w:rPr>
      </w:pPr>
    </w:p>
    <w:p w14:paraId="2534C2E5" w14:textId="5C081DB4" w:rsidR="002B3025" w:rsidRPr="00996FCC" w:rsidRDefault="002B3025" w:rsidP="00551D66">
      <w:pPr>
        <w:pStyle w:val="Textoindependiente"/>
        <w:numPr>
          <w:ilvl w:val="1"/>
          <w:numId w:val="40"/>
        </w:numPr>
        <w:ind w:left="851" w:hanging="284"/>
        <w:rPr>
          <w:rFonts w:ascii="Verdana" w:hAnsi="Verdana" w:cs="Arial"/>
          <w:b/>
          <w:sz w:val="20"/>
        </w:rPr>
      </w:pPr>
      <w:r w:rsidRPr="00996FCC">
        <w:rPr>
          <w:rFonts w:ascii="Verdana" w:hAnsi="Verdana" w:cs="Arial"/>
          <w:b/>
          <w:sz w:val="20"/>
        </w:rPr>
        <w:t>Clasificación de eventos que generan riesgo operacional</w:t>
      </w:r>
    </w:p>
    <w:p w14:paraId="62251384" w14:textId="77777777" w:rsidR="00936124" w:rsidRDefault="00936124" w:rsidP="000743A7">
      <w:pPr>
        <w:spacing w:after="0"/>
        <w:rPr>
          <w:rFonts w:ascii="Verdana" w:hAnsi="Verdana"/>
          <w:sz w:val="20"/>
          <w:szCs w:val="20"/>
        </w:rPr>
      </w:pPr>
    </w:p>
    <w:p w14:paraId="7F2EF729" w14:textId="35CA034D" w:rsidR="000743A7" w:rsidRPr="001C6CAB" w:rsidRDefault="000743A7" w:rsidP="000743A7">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B73C9A">
        <w:rPr>
          <w:rFonts w:ascii="Verdana" w:hAnsi="Verdana"/>
          <w:sz w:val="20"/>
          <w:szCs w:val="20"/>
        </w:rPr>
        <w:t>4</w:t>
      </w:r>
      <w:r w:rsidR="00B42F68">
        <w:rPr>
          <w:rFonts w:ascii="Verdana" w:hAnsi="Verdana"/>
          <w:sz w:val="20"/>
          <w:szCs w:val="20"/>
        </w:rPr>
        <w:t>6</w:t>
      </w:r>
      <w:r w:rsidRPr="001C6CAB">
        <w:rPr>
          <w:rFonts w:ascii="Verdana" w:hAnsi="Verdana"/>
          <w:sz w:val="20"/>
          <w:szCs w:val="20"/>
        </w:rPr>
        <w:t>.</w:t>
      </w:r>
    </w:p>
    <w:p w14:paraId="600B7A2D" w14:textId="6127EC19" w:rsidR="002B3025" w:rsidRPr="002B3025" w:rsidRDefault="002B3025" w:rsidP="00B929BB">
      <w:pPr>
        <w:tabs>
          <w:tab w:val="left" w:pos="540"/>
        </w:tabs>
        <w:jc w:val="both"/>
        <w:rPr>
          <w:rFonts w:ascii="Verdana" w:hAnsi="Verdana" w:cs="Arial"/>
          <w:bCs/>
          <w:sz w:val="20"/>
          <w:szCs w:val="20"/>
        </w:rPr>
      </w:pPr>
      <w:r w:rsidRPr="002B3025">
        <w:rPr>
          <w:rFonts w:ascii="Verdana" w:hAnsi="Verdana" w:cs="Arial"/>
          <w:bCs/>
          <w:sz w:val="20"/>
          <w:szCs w:val="20"/>
        </w:rPr>
        <w:t xml:space="preserve">Para los efectos del presente </w:t>
      </w:r>
      <w:r w:rsidR="00B204DF">
        <w:rPr>
          <w:rFonts w:ascii="Verdana" w:hAnsi="Verdana" w:cs="Arial"/>
          <w:bCs/>
          <w:sz w:val="20"/>
          <w:szCs w:val="20"/>
        </w:rPr>
        <w:t>c</w:t>
      </w:r>
      <w:r w:rsidRPr="002B3025">
        <w:rPr>
          <w:rFonts w:ascii="Verdana" w:hAnsi="Verdana" w:cs="Arial"/>
          <w:bCs/>
          <w:sz w:val="20"/>
          <w:szCs w:val="20"/>
        </w:rPr>
        <w:t>apítulo la entidad debe clasificar los eventos de riesgo operacional siguiendo las categorías que se señalan a continuación:</w:t>
      </w:r>
    </w:p>
    <w:p w14:paraId="4415EB3F" w14:textId="77777777" w:rsidR="002B3025" w:rsidRDefault="002B3025" w:rsidP="00551D66">
      <w:pPr>
        <w:pStyle w:val="Prrafodelista"/>
        <w:numPr>
          <w:ilvl w:val="0"/>
          <w:numId w:val="24"/>
        </w:numPr>
        <w:tabs>
          <w:tab w:val="left" w:pos="567"/>
        </w:tabs>
        <w:spacing w:after="0" w:line="240" w:lineRule="auto"/>
        <w:ind w:left="567" w:hanging="567"/>
        <w:jc w:val="both"/>
        <w:rPr>
          <w:rFonts w:ascii="Verdana" w:hAnsi="Verdana" w:cs="Arial"/>
          <w:bCs/>
          <w:sz w:val="20"/>
          <w:szCs w:val="20"/>
        </w:rPr>
      </w:pPr>
      <w:r w:rsidRPr="00010F87">
        <w:rPr>
          <w:rFonts w:ascii="Verdana" w:hAnsi="Verdana" w:cs="Arial"/>
          <w:bCs/>
          <w:sz w:val="20"/>
          <w:szCs w:val="20"/>
        </w:rPr>
        <w:t>Fraude Interno: Actos que tienen como resultado defraudar, apropiarse de bienes indebidamente o incumplir regulaciones, leyes o políticas empresariales vigentes en los que se encuentra implicado, al menos, un empleado o tercero contratado para ejecutar procesos a nombre de la entidad.</w:t>
      </w:r>
    </w:p>
    <w:p w14:paraId="569560BB" w14:textId="77777777" w:rsidR="00010F87" w:rsidRPr="00010F87" w:rsidRDefault="00010F87" w:rsidP="00010F87">
      <w:pPr>
        <w:pStyle w:val="Prrafodelista"/>
        <w:tabs>
          <w:tab w:val="left" w:pos="567"/>
        </w:tabs>
        <w:spacing w:after="0" w:line="240" w:lineRule="auto"/>
        <w:ind w:left="567"/>
        <w:jc w:val="both"/>
        <w:rPr>
          <w:rFonts w:ascii="Verdana" w:hAnsi="Verdana" w:cs="Arial"/>
          <w:bCs/>
          <w:sz w:val="20"/>
          <w:szCs w:val="20"/>
        </w:rPr>
      </w:pPr>
    </w:p>
    <w:p w14:paraId="3717F717" w14:textId="33934B94" w:rsidR="002B3025" w:rsidRDefault="002B3025" w:rsidP="00551D66">
      <w:pPr>
        <w:pStyle w:val="Prrafodelista"/>
        <w:numPr>
          <w:ilvl w:val="0"/>
          <w:numId w:val="24"/>
        </w:numPr>
        <w:tabs>
          <w:tab w:val="left" w:pos="567"/>
        </w:tabs>
        <w:spacing w:after="0" w:line="240" w:lineRule="auto"/>
        <w:ind w:left="567" w:hanging="567"/>
        <w:jc w:val="both"/>
        <w:rPr>
          <w:rFonts w:ascii="Verdana" w:hAnsi="Verdana" w:cs="Arial"/>
          <w:sz w:val="20"/>
          <w:szCs w:val="20"/>
        </w:rPr>
      </w:pPr>
      <w:r w:rsidRPr="12B437D6">
        <w:rPr>
          <w:rFonts w:ascii="Verdana" w:hAnsi="Verdana" w:cs="Arial"/>
          <w:sz w:val="20"/>
          <w:szCs w:val="20"/>
        </w:rPr>
        <w:t>Fraude Externo: Actos, realizados por una persona externa a la entidad, que buscan defraudar, apropiarse indebidamente de activos de la misma o incumplir normas o leyes, en los que se encuentra implicado un tercero ajeno a la entidad.</w:t>
      </w:r>
    </w:p>
    <w:p w14:paraId="6CD005E7" w14:textId="77777777" w:rsidR="00010F87" w:rsidRPr="00010F87" w:rsidRDefault="00010F87" w:rsidP="00010F87">
      <w:pPr>
        <w:pStyle w:val="Prrafodelista"/>
        <w:tabs>
          <w:tab w:val="left" w:pos="567"/>
        </w:tabs>
        <w:spacing w:after="0" w:line="240" w:lineRule="auto"/>
        <w:ind w:left="567"/>
        <w:jc w:val="both"/>
        <w:rPr>
          <w:rFonts w:ascii="Verdana" w:hAnsi="Verdana" w:cs="Arial"/>
          <w:bCs/>
          <w:sz w:val="20"/>
          <w:szCs w:val="20"/>
        </w:rPr>
      </w:pPr>
    </w:p>
    <w:p w14:paraId="0A434029" w14:textId="050F404F" w:rsidR="00010F87" w:rsidRDefault="002B3025" w:rsidP="00551D66">
      <w:pPr>
        <w:pStyle w:val="Prrafodelista"/>
        <w:numPr>
          <w:ilvl w:val="0"/>
          <w:numId w:val="24"/>
        </w:numPr>
        <w:tabs>
          <w:tab w:val="left" w:pos="567"/>
        </w:tabs>
        <w:spacing w:after="0" w:line="240" w:lineRule="auto"/>
        <w:ind w:left="567" w:hanging="567"/>
        <w:jc w:val="both"/>
        <w:rPr>
          <w:rFonts w:ascii="Verdana" w:hAnsi="Verdana" w:cs="Arial"/>
          <w:sz w:val="20"/>
          <w:szCs w:val="20"/>
        </w:rPr>
      </w:pPr>
      <w:r w:rsidRPr="12B437D6">
        <w:rPr>
          <w:rFonts w:ascii="Verdana" w:hAnsi="Verdana" w:cs="Arial"/>
          <w:sz w:val="20"/>
          <w:szCs w:val="20"/>
        </w:rPr>
        <w:t>Relaciones laborales y seguridad laboral: Actos que son incompatibles con la legislación laboral o con acuerdos relacionados con la higiene o la seguridad en el trabajo, o que versen sobre el pago de reclamaciones por daños personales o casos relacionados con la diversidad y/o discriminación en el ámbito laboral.</w:t>
      </w:r>
    </w:p>
    <w:p w14:paraId="51012E40" w14:textId="77777777" w:rsidR="00010F87" w:rsidRPr="00010F87" w:rsidRDefault="00010F87" w:rsidP="00010F87">
      <w:pPr>
        <w:pStyle w:val="Prrafodelista"/>
        <w:rPr>
          <w:rFonts w:ascii="Verdana" w:hAnsi="Verdana" w:cs="Arial"/>
          <w:bCs/>
          <w:sz w:val="20"/>
          <w:szCs w:val="20"/>
        </w:rPr>
      </w:pPr>
    </w:p>
    <w:p w14:paraId="67AD39DC" w14:textId="77777777" w:rsidR="006D7555" w:rsidRDefault="002B3025" w:rsidP="00551D66">
      <w:pPr>
        <w:pStyle w:val="Prrafodelista"/>
        <w:numPr>
          <w:ilvl w:val="0"/>
          <w:numId w:val="24"/>
        </w:numPr>
        <w:tabs>
          <w:tab w:val="left" w:pos="567"/>
        </w:tabs>
        <w:spacing w:after="0" w:line="240" w:lineRule="auto"/>
        <w:ind w:left="567" w:hanging="567"/>
        <w:jc w:val="both"/>
        <w:rPr>
          <w:rFonts w:ascii="Verdana" w:hAnsi="Verdana" w:cs="Arial"/>
          <w:bCs/>
          <w:sz w:val="20"/>
          <w:szCs w:val="20"/>
        </w:rPr>
      </w:pPr>
      <w:r w:rsidRPr="006D7555">
        <w:rPr>
          <w:rFonts w:ascii="Verdana" w:hAnsi="Verdana" w:cs="Arial"/>
          <w:bCs/>
          <w:sz w:val="20"/>
          <w:szCs w:val="20"/>
        </w:rPr>
        <w:lastRenderedPageBreak/>
        <w:t>Clientes, productos y prácticas empresariales: Incumplimiento involuntario o negligente de una obligación profesional/empresarial frente a clientes</w:t>
      </w:r>
      <w:r w:rsidRPr="006D7555" w:rsidDel="005456E3">
        <w:rPr>
          <w:rFonts w:ascii="Verdana" w:hAnsi="Verdana" w:cs="Arial"/>
          <w:bCs/>
          <w:sz w:val="20"/>
          <w:szCs w:val="20"/>
        </w:rPr>
        <w:t xml:space="preserve"> </w:t>
      </w:r>
      <w:r w:rsidRPr="006D7555">
        <w:rPr>
          <w:rFonts w:ascii="Verdana" w:hAnsi="Verdana" w:cs="Arial"/>
          <w:bCs/>
          <w:sz w:val="20"/>
          <w:szCs w:val="20"/>
        </w:rPr>
        <w:t>o eventos derivados de la naturaleza o diseño de un producto.</w:t>
      </w:r>
    </w:p>
    <w:p w14:paraId="7B91AD1F" w14:textId="77777777" w:rsidR="006D7555" w:rsidRPr="006D7555" w:rsidRDefault="006D7555" w:rsidP="006D7555">
      <w:pPr>
        <w:pStyle w:val="Prrafodelista"/>
        <w:rPr>
          <w:rFonts w:ascii="Verdana" w:hAnsi="Verdana" w:cs="Arial"/>
          <w:bCs/>
          <w:sz w:val="20"/>
          <w:szCs w:val="20"/>
        </w:rPr>
      </w:pPr>
    </w:p>
    <w:p w14:paraId="62D4FFA1" w14:textId="77777777" w:rsidR="006D7555" w:rsidRDefault="002B3025" w:rsidP="00551D66">
      <w:pPr>
        <w:pStyle w:val="Prrafodelista"/>
        <w:numPr>
          <w:ilvl w:val="0"/>
          <w:numId w:val="24"/>
        </w:numPr>
        <w:tabs>
          <w:tab w:val="left" w:pos="567"/>
        </w:tabs>
        <w:spacing w:after="0" w:line="240" w:lineRule="auto"/>
        <w:ind w:left="567" w:hanging="567"/>
        <w:jc w:val="both"/>
        <w:rPr>
          <w:rFonts w:ascii="Verdana" w:hAnsi="Verdana" w:cs="Arial"/>
          <w:bCs/>
          <w:sz w:val="20"/>
          <w:szCs w:val="20"/>
        </w:rPr>
      </w:pPr>
      <w:r w:rsidRPr="006D7555">
        <w:rPr>
          <w:rFonts w:ascii="Verdana" w:hAnsi="Verdana" w:cs="Arial"/>
          <w:bCs/>
          <w:sz w:val="20"/>
          <w:szCs w:val="20"/>
        </w:rPr>
        <w:t>Daños a activos físicos: Pérdidas derivadas de daños o perjuicios a activos físicos de la entidad como consecuencia de desastres naturales, actos de terrorismo, vandalismo u otros acontecimientos.</w:t>
      </w:r>
    </w:p>
    <w:p w14:paraId="205FAA5E" w14:textId="77777777" w:rsidR="006D7555" w:rsidRPr="006D7555" w:rsidRDefault="006D7555" w:rsidP="006D7555">
      <w:pPr>
        <w:pStyle w:val="Prrafodelista"/>
        <w:rPr>
          <w:rFonts w:ascii="Verdana" w:hAnsi="Verdana" w:cs="Arial"/>
          <w:bCs/>
          <w:sz w:val="20"/>
          <w:szCs w:val="20"/>
        </w:rPr>
      </w:pPr>
    </w:p>
    <w:p w14:paraId="403BE626" w14:textId="77777777" w:rsidR="006D7555" w:rsidRDefault="002B3025" w:rsidP="00551D66">
      <w:pPr>
        <w:pStyle w:val="Prrafodelista"/>
        <w:numPr>
          <w:ilvl w:val="0"/>
          <w:numId w:val="24"/>
        </w:numPr>
        <w:tabs>
          <w:tab w:val="left" w:pos="567"/>
        </w:tabs>
        <w:spacing w:after="0" w:line="240" w:lineRule="auto"/>
        <w:ind w:left="567" w:hanging="567"/>
        <w:jc w:val="both"/>
        <w:rPr>
          <w:rFonts w:ascii="Verdana" w:hAnsi="Verdana" w:cs="Arial"/>
          <w:bCs/>
          <w:sz w:val="20"/>
          <w:szCs w:val="20"/>
        </w:rPr>
      </w:pPr>
      <w:r w:rsidRPr="006D7555">
        <w:rPr>
          <w:rFonts w:ascii="Verdana" w:hAnsi="Verdana" w:cs="Arial"/>
          <w:bCs/>
          <w:sz w:val="20"/>
          <w:szCs w:val="20"/>
        </w:rPr>
        <w:t>Fallas tecnológicas: Hechos o cambios originados por fallas del hardware, software, telecomunicaciones o servicios públicos que puedan afectar, además de la operación interna de la entidad, la prestación del servicio a los clientes.</w:t>
      </w:r>
    </w:p>
    <w:p w14:paraId="54F90BDB" w14:textId="77777777" w:rsidR="006D7555" w:rsidRPr="006D7555" w:rsidRDefault="006D7555" w:rsidP="006D7555">
      <w:pPr>
        <w:pStyle w:val="Prrafodelista"/>
        <w:rPr>
          <w:rFonts w:ascii="Verdana" w:hAnsi="Verdana" w:cs="Arial"/>
          <w:bCs/>
          <w:sz w:val="20"/>
          <w:szCs w:val="20"/>
        </w:rPr>
      </w:pPr>
    </w:p>
    <w:p w14:paraId="3C745AB9" w14:textId="54CC6497" w:rsidR="002B3025" w:rsidRPr="006D7555" w:rsidRDefault="002B3025" w:rsidP="00551D66">
      <w:pPr>
        <w:pStyle w:val="Prrafodelista"/>
        <w:numPr>
          <w:ilvl w:val="0"/>
          <w:numId w:val="24"/>
        </w:numPr>
        <w:tabs>
          <w:tab w:val="left" w:pos="567"/>
        </w:tabs>
        <w:spacing w:after="0" w:line="240" w:lineRule="auto"/>
        <w:ind w:left="567" w:hanging="567"/>
        <w:jc w:val="both"/>
        <w:rPr>
          <w:rFonts w:ascii="Verdana" w:hAnsi="Verdana" w:cs="Arial"/>
          <w:bCs/>
          <w:sz w:val="20"/>
          <w:szCs w:val="20"/>
        </w:rPr>
      </w:pPr>
      <w:r w:rsidRPr="006D7555">
        <w:rPr>
          <w:rFonts w:ascii="Verdana" w:hAnsi="Verdana" w:cs="Arial"/>
          <w:bCs/>
          <w:sz w:val="20"/>
          <w:szCs w:val="20"/>
        </w:rPr>
        <w:t>Ejecución y administración de procesos: Errores en el procesamiento de operaciones o en la gestión de procesos, así como en las relaciones con contrapartes comerciales y proveedores.</w:t>
      </w:r>
    </w:p>
    <w:p w14:paraId="2874E324" w14:textId="77777777" w:rsidR="00FC4030" w:rsidRDefault="00FC4030" w:rsidP="006D7555">
      <w:pPr>
        <w:spacing w:after="0"/>
        <w:rPr>
          <w:rFonts w:ascii="Verdana" w:hAnsi="Verdana"/>
          <w:sz w:val="20"/>
          <w:szCs w:val="20"/>
        </w:rPr>
      </w:pPr>
    </w:p>
    <w:p w14:paraId="1DD73841" w14:textId="2FD5007E" w:rsidR="006D7555" w:rsidRPr="001C6CAB" w:rsidRDefault="006D7555" w:rsidP="006D7555">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B73C9A">
        <w:rPr>
          <w:rFonts w:ascii="Verdana" w:hAnsi="Verdana"/>
          <w:sz w:val="20"/>
          <w:szCs w:val="20"/>
        </w:rPr>
        <w:t>4</w:t>
      </w:r>
      <w:r w:rsidR="00B42F68">
        <w:rPr>
          <w:rFonts w:ascii="Verdana" w:hAnsi="Verdana"/>
          <w:sz w:val="20"/>
          <w:szCs w:val="20"/>
        </w:rPr>
        <w:t>7</w:t>
      </w:r>
      <w:r w:rsidRPr="001C6CAB">
        <w:rPr>
          <w:rFonts w:ascii="Verdana" w:hAnsi="Verdana"/>
          <w:sz w:val="20"/>
          <w:szCs w:val="20"/>
        </w:rPr>
        <w:t>.</w:t>
      </w:r>
    </w:p>
    <w:p w14:paraId="7D35B316" w14:textId="2E9F666F" w:rsidR="002B3025" w:rsidRDefault="002B3025" w:rsidP="00DF5598">
      <w:pPr>
        <w:pStyle w:val="Textoindependiente"/>
        <w:rPr>
          <w:rFonts w:ascii="Verdana" w:hAnsi="Verdana" w:cs="Arial"/>
          <w:bCs/>
          <w:sz w:val="20"/>
        </w:rPr>
      </w:pPr>
      <w:r w:rsidRPr="002B3025">
        <w:rPr>
          <w:rFonts w:ascii="Verdana" w:hAnsi="Verdana" w:cs="Arial"/>
          <w:bCs/>
          <w:sz w:val="20"/>
        </w:rPr>
        <w:t>Adicionalmente para cada clase de evento de riesgo operacional la entidad debe establecer, como mínimo, las subcategorías que se señalan a continuación (nivel 2 y 3):</w:t>
      </w:r>
    </w:p>
    <w:p w14:paraId="3938D856" w14:textId="77777777" w:rsidR="00DF5598" w:rsidRPr="002B3025" w:rsidRDefault="00DF5598" w:rsidP="00DF5598">
      <w:pPr>
        <w:pStyle w:val="Textoindependiente"/>
        <w:rPr>
          <w:rFonts w:ascii="Verdana" w:hAnsi="Verdana" w:cs="Arial"/>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
        <w:gridCol w:w="1730"/>
        <w:gridCol w:w="478"/>
        <w:gridCol w:w="1993"/>
        <w:gridCol w:w="740"/>
        <w:gridCol w:w="3443"/>
      </w:tblGrid>
      <w:tr w:rsidR="002E3760" w:rsidRPr="002B3025" w14:paraId="599803F6" w14:textId="77777777" w:rsidTr="00DF5598">
        <w:trPr>
          <w:trHeight w:val="581"/>
          <w:tblHeader/>
        </w:trPr>
        <w:tc>
          <w:tcPr>
            <w:tcW w:w="0" w:type="auto"/>
            <w:shd w:val="clear" w:color="auto" w:fill="D1D1D1" w:themeFill="background2" w:themeFillShade="E6"/>
            <w:vAlign w:val="center"/>
          </w:tcPr>
          <w:p w14:paraId="10245A18" w14:textId="14694846" w:rsidR="002B3025" w:rsidRPr="00DF5598" w:rsidRDefault="002B3025" w:rsidP="12B437D6">
            <w:pPr>
              <w:jc w:val="center"/>
              <w:rPr>
                <w:rFonts w:ascii="Verdana" w:hAnsi="Verdana" w:cs="Arial"/>
                <w:b/>
                <w:bCs/>
                <w:sz w:val="16"/>
                <w:szCs w:val="16"/>
              </w:rPr>
            </w:pPr>
            <w:r w:rsidRPr="00DF5598">
              <w:rPr>
                <w:rFonts w:ascii="Verdana" w:hAnsi="Verdana" w:cs="Arial"/>
                <w:b/>
                <w:bCs/>
                <w:sz w:val="16"/>
                <w:szCs w:val="16"/>
              </w:rPr>
              <w:t>N°</w:t>
            </w:r>
          </w:p>
        </w:tc>
        <w:tc>
          <w:tcPr>
            <w:tcW w:w="0" w:type="auto"/>
            <w:shd w:val="clear" w:color="auto" w:fill="D1D1D1" w:themeFill="background2" w:themeFillShade="E6"/>
            <w:vAlign w:val="center"/>
          </w:tcPr>
          <w:p w14:paraId="5DA101F0" w14:textId="77777777" w:rsidR="002B3025" w:rsidRPr="00DF5598" w:rsidRDefault="002B3025" w:rsidP="00B929BB">
            <w:pPr>
              <w:jc w:val="center"/>
              <w:rPr>
                <w:rFonts w:ascii="Verdana" w:hAnsi="Verdana" w:cs="Arial"/>
                <w:b/>
                <w:bCs/>
                <w:sz w:val="16"/>
                <w:szCs w:val="16"/>
              </w:rPr>
            </w:pPr>
            <w:r w:rsidRPr="00DF5598">
              <w:rPr>
                <w:rFonts w:ascii="Verdana" w:hAnsi="Verdana" w:cs="Arial"/>
                <w:b/>
                <w:bCs/>
                <w:sz w:val="16"/>
                <w:szCs w:val="16"/>
              </w:rPr>
              <w:t>Evento de riesgo Operacional</w:t>
            </w:r>
          </w:p>
          <w:p w14:paraId="04D44F60" w14:textId="77777777" w:rsidR="002B3025" w:rsidRPr="00DF5598" w:rsidRDefault="002B3025" w:rsidP="00B929BB">
            <w:pPr>
              <w:jc w:val="center"/>
              <w:rPr>
                <w:rFonts w:ascii="Verdana" w:hAnsi="Verdana" w:cs="Arial"/>
                <w:b/>
                <w:bCs/>
                <w:sz w:val="16"/>
                <w:szCs w:val="16"/>
              </w:rPr>
            </w:pPr>
            <w:r w:rsidRPr="00DF5598">
              <w:rPr>
                <w:rFonts w:ascii="Verdana" w:hAnsi="Verdana" w:cs="Arial"/>
                <w:b/>
                <w:bCs/>
                <w:sz w:val="16"/>
                <w:szCs w:val="16"/>
              </w:rPr>
              <w:t>(Nivel 1)</w:t>
            </w:r>
          </w:p>
        </w:tc>
        <w:tc>
          <w:tcPr>
            <w:tcW w:w="0" w:type="auto"/>
            <w:shd w:val="clear" w:color="auto" w:fill="D1D1D1" w:themeFill="background2" w:themeFillShade="E6"/>
            <w:vAlign w:val="center"/>
          </w:tcPr>
          <w:p w14:paraId="5FF5BAAA" w14:textId="738F9BC5" w:rsidR="002B3025" w:rsidRPr="00DF5598" w:rsidRDefault="002B3025" w:rsidP="12B437D6">
            <w:pPr>
              <w:jc w:val="center"/>
              <w:rPr>
                <w:rFonts w:ascii="Verdana" w:hAnsi="Verdana" w:cs="Arial"/>
                <w:b/>
                <w:bCs/>
                <w:sz w:val="16"/>
                <w:szCs w:val="16"/>
              </w:rPr>
            </w:pPr>
            <w:r w:rsidRPr="00DF5598">
              <w:rPr>
                <w:rFonts w:ascii="Verdana" w:hAnsi="Verdana" w:cs="Arial"/>
                <w:b/>
                <w:bCs/>
                <w:sz w:val="16"/>
                <w:szCs w:val="16"/>
              </w:rPr>
              <w:t>N°</w:t>
            </w:r>
          </w:p>
        </w:tc>
        <w:tc>
          <w:tcPr>
            <w:tcW w:w="0" w:type="auto"/>
            <w:shd w:val="clear" w:color="auto" w:fill="D1D1D1" w:themeFill="background2" w:themeFillShade="E6"/>
            <w:vAlign w:val="center"/>
          </w:tcPr>
          <w:p w14:paraId="7106ECB6" w14:textId="77777777" w:rsidR="002B3025" w:rsidRPr="00DF5598" w:rsidRDefault="002B3025" w:rsidP="00B929BB">
            <w:pPr>
              <w:jc w:val="center"/>
              <w:rPr>
                <w:rFonts w:ascii="Verdana" w:hAnsi="Verdana" w:cs="Arial"/>
                <w:b/>
                <w:bCs/>
                <w:sz w:val="16"/>
                <w:szCs w:val="16"/>
              </w:rPr>
            </w:pPr>
            <w:r w:rsidRPr="00DF5598">
              <w:rPr>
                <w:rFonts w:ascii="Verdana" w:hAnsi="Verdana" w:cs="Arial"/>
                <w:b/>
                <w:bCs/>
                <w:sz w:val="16"/>
                <w:szCs w:val="16"/>
              </w:rPr>
              <w:t>Evento de riesgo Operacional</w:t>
            </w:r>
          </w:p>
          <w:p w14:paraId="31B403F8" w14:textId="77777777" w:rsidR="002B3025" w:rsidRPr="00DF5598" w:rsidRDefault="002B3025" w:rsidP="00B929BB">
            <w:pPr>
              <w:jc w:val="center"/>
              <w:rPr>
                <w:rFonts w:ascii="Verdana" w:hAnsi="Verdana" w:cs="Arial"/>
                <w:b/>
                <w:bCs/>
                <w:sz w:val="16"/>
                <w:szCs w:val="16"/>
              </w:rPr>
            </w:pPr>
            <w:r w:rsidRPr="00DF5598">
              <w:rPr>
                <w:rFonts w:ascii="Verdana" w:hAnsi="Verdana" w:cs="Arial"/>
                <w:b/>
                <w:bCs/>
                <w:sz w:val="16"/>
                <w:szCs w:val="16"/>
              </w:rPr>
              <w:t>(Nivel 2)</w:t>
            </w:r>
          </w:p>
        </w:tc>
        <w:tc>
          <w:tcPr>
            <w:tcW w:w="0" w:type="auto"/>
            <w:shd w:val="clear" w:color="auto" w:fill="D1D1D1" w:themeFill="background2" w:themeFillShade="E6"/>
            <w:vAlign w:val="center"/>
          </w:tcPr>
          <w:p w14:paraId="620912B0" w14:textId="4E9E4B53" w:rsidR="002B3025" w:rsidRPr="00DF5598" w:rsidRDefault="002B3025" w:rsidP="12B437D6">
            <w:pPr>
              <w:jc w:val="center"/>
              <w:rPr>
                <w:rFonts w:ascii="Verdana" w:hAnsi="Verdana" w:cs="Arial"/>
                <w:b/>
                <w:bCs/>
                <w:sz w:val="16"/>
                <w:szCs w:val="16"/>
              </w:rPr>
            </w:pPr>
            <w:r w:rsidRPr="00DF5598">
              <w:rPr>
                <w:rFonts w:ascii="Verdana" w:hAnsi="Verdana" w:cs="Arial"/>
                <w:b/>
                <w:bCs/>
                <w:sz w:val="16"/>
                <w:szCs w:val="16"/>
              </w:rPr>
              <w:t>N°</w:t>
            </w:r>
          </w:p>
        </w:tc>
        <w:tc>
          <w:tcPr>
            <w:tcW w:w="0" w:type="auto"/>
            <w:shd w:val="clear" w:color="auto" w:fill="D1D1D1" w:themeFill="background2" w:themeFillShade="E6"/>
            <w:vAlign w:val="center"/>
          </w:tcPr>
          <w:p w14:paraId="111EE2BA" w14:textId="77777777" w:rsidR="002B3025" w:rsidRPr="00DF5598" w:rsidRDefault="002B3025" w:rsidP="00B929BB">
            <w:pPr>
              <w:jc w:val="center"/>
              <w:rPr>
                <w:rFonts w:ascii="Verdana" w:hAnsi="Verdana" w:cs="Arial"/>
                <w:b/>
                <w:bCs/>
                <w:sz w:val="16"/>
                <w:szCs w:val="16"/>
              </w:rPr>
            </w:pPr>
            <w:r w:rsidRPr="00DF5598">
              <w:rPr>
                <w:rFonts w:ascii="Verdana" w:hAnsi="Verdana" w:cs="Arial"/>
                <w:b/>
                <w:bCs/>
                <w:sz w:val="16"/>
                <w:szCs w:val="16"/>
              </w:rPr>
              <w:t>Evento de Riesgo Operacional</w:t>
            </w:r>
          </w:p>
          <w:p w14:paraId="68ECA58D" w14:textId="77777777" w:rsidR="002B3025" w:rsidRPr="00DF5598" w:rsidRDefault="002B3025" w:rsidP="00B929BB">
            <w:pPr>
              <w:jc w:val="center"/>
              <w:rPr>
                <w:rFonts w:ascii="Verdana" w:hAnsi="Verdana" w:cs="Arial"/>
                <w:b/>
                <w:bCs/>
                <w:sz w:val="16"/>
                <w:szCs w:val="16"/>
              </w:rPr>
            </w:pPr>
            <w:r w:rsidRPr="00DF5598">
              <w:rPr>
                <w:rFonts w:ascii="Verdana" w:hAnsi="Verdana" w:cs="Arial"/>
                <w:b/>
                <w:bCs/>
                <w:sz w:val="16"/>
                <w:szCs w:val="16"/>
              </w:rPr>
              <w:t>(Nivel 3)</w:t>
            </w:r>
          </w:p>
        </w:tc>
      </w:tr>
      <w:tr w:rsidR="00FA0D28" w:rsidRPr="002B3025" w14:paraId="531613FE" w14:textId="77777777" w:rsidTr="12B437D6">
        <w:tc>
          <w:tcPr>
            <w:tcW w:w="0" w:type="auto"/>
            <w:vMerge w:val="restart"/>
            <w:vAlign w:val="center"/>
          </w:tcPr>
          <w:p w14:paraId="37DCEA3B"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1</w:t>
            </w:r>
          </w:p>
        </w:tc>
        <w:tc>
          <w:tcPr>
            <w:tcW w:w="0" w:type="auto"/>
            <w:vMerge w:val="restart"/>
            <w:vAlign w:val="center"/>
          </w:tcPr>
          <w:p w14:paraId="3112A88F" w14:textId="77777777" w:rsidR="002B3025" w:rsidRPr="00DF5598" w:rsidRDefault="002B3025" w:rsidP="00B929BB">
            <w:pPr>
              <w:tabs>
                <w:tab w:val="left" w:pos="540"/>
              </w:tabs>
              <w:jc w:val="both"/>
              <w:rPr>
                <w:rFonts w:ascii="Verdana" w:hAnsi="Verdana" w:cs="Arial"/>
                <w:bCs/>
                <w:sz w:val="16"/>
                <w:szCs w:val="16"/>
              </w:rPr>
            </w:pPr>
            <w:r w:rsidRPr="00DF5598">
              <w:rPr>
                <w:rFonts w:ascii="Verdana" w:hAnsi="Verdana" w:cs="Arial"/>
                <w:bCs/>
                <w:sz w:val="16"/>
                <w:szCs w:val="16"/>
              </w:rPr>
              <w:t>Fraude Interno</w:t>
            </w:r>
          </w:p>
          <w:p w14:paraId="33D94899" w14:textId="77777777" w:rsidR="002B3025" w:rsidRPr="00DF5598" w:rsidRDefault="002B3025" w:rsidP="00B929BB">
            <w:pPr>
              <w:rPr>
                <w:rFonts w:ascii="Verdana" w:hAnsi="Verdana" w:cs="Arial"/>
                <w:bCs/>
                <w:sz w:val="16"/>
                <w:szCs w:val="16"/>
              </w:rPr>
            </w:pPr>
          </w:p>
        </w:tc>
        <w:tc>
          <w:tcPr>
            <w:tcW w:w="0" w:type="auto"/>
            <w:vMerge w:val="restart"/>
            <w:vAlign w:val="center"/>
          </w:tcPr>
          <w:p w14:paraId="31C2D679"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1.1</w:t>
            </w:r>
          </w:p>
        </w:tc>
        <w:tc>
          <w:tcPr>
            <w:tcW w:w="0" w:type="auto"/>
            <w:vMerge w:val="restart"/>
            <w:vAlign w:val="center"/>
          </w:tcPr>
          <w:p w14:paraId="1AAA9EF9"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Actividades no Autorizadas</w:t>
            </w:r>
          </w:p>
        </w:tc>
        <w:tc>
          <w:tcPr>
            <w:tcW w:w="0" w:type="auto"/>
            <w:vAlign w:val="center"/>
          </w:tcPr>
          <w:p w14:paraId="1EA18715"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1.1.1</w:t>
            </w:r>
          </w:p>
        </w:tc>
        <w:tc>
          <w:tcPr>
            <w:tcW w:w="0" w:type="auto"/>
            <w:vAlign w:val="center"/>
          </w:tcPr>
          <w:p w14:paraId="35C7F530"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Uso indebido de facultades y poderes.</w:t>
            </w:r>
          </w:p>
        </w:tc>
      </w:tr>
      <w:tr w:rsidR="00FA0D28" w:rsidRPr="002B3025" w14:paraId="0AE47F3F" w14:textId="77777777" w:rsidTr="12B437D6">
        <w:tc>
          <w:tcPr>
            <w:tcW w:w="0" w:type="auto"/>
            <w:vMerge/>
            <w:vAlign w:val="center"/>
          </w:tcPr>
          <w:p w14:paraId="1109E426" w14:textId="77777777" w:rsidR="002B3025" w:rsidRPr="00DF5598" w:rsidRDefault="002B3025" w:rsidP="00B929BB">
            <w:pPr>
              <w:jc w:val="both"/>
              <w:rPr>
                <w:rFonts w:ascii="Verdana" w:hAnsi="Verdana" w:cs="Arial"/>
                <w:bCs/>
                <w:sz w:val="16"/>
                <w:szCs w:val="16"/>
              </w:rPr>
            </w:pPr>
          </w:p>
        </w:tc>
        <w:tc>
          <w:tcPr>
            <w:tcW w:w="0" w:type="auto"/>
            <w:vMerge/>
            <w:vAlign w:val="center"/>
          </w:tcPr>
          <w:p w14:paraId="4382365C" w14:textId="77777777" w:rsidR="002B3025" w:rsidRPr="00DF5598" w:rsidRDefault="002B3025" w:rsidP="00B929BB">
            <w:pPr>
              <w:tabs>
                <w:tab w:val="left" w:pos="540"/>
              </w:tabs>
              <w:jc w:val="both"/>
              <w:rPr>
                <w:rFonts w:ascii="Verdana" w:hAnsi="Verdana" w:cs="Arial"/>
                <w:bCs/>
                <w:sz w:val="16"/>
                <w:szCs w:val="16"/>
              </w:rPr>
            </w:pPr>
          </w:p>
        </w:tc>
        <w:tc>
          <w:tcPr>
            <w:tcW w:w="0" w:type="auto"/>
            <w:vMerge/>
            <w:vAlign w:val="center"/>
          </w:tcPr>
          <w:p w14:paraId="756C35DE" w14:textId="77777777" w:rsidR="002B3025" w:rsidRPr="00DF5598" w:rsidRDefault="002B3025" w:rsidP="00B929BB">
            <w:pPr>
              <w:jc w:val="center"/>
              <w:rPr>
                <w:rFonts w:ascii="Verdana" w:hAnsi="Verdana" w:cs="Arial"/>
                <w:bCs/>
                <w:sz w:val="16"/>
                <w:szCs w:val="16"/>
              </w:rPr>
            </w:pPr>
          </w:p>
        </w:tc>
        <w:tc>
          <w:tcPr>
            <w:tcW w:w="0" w:type="auto"/>
            <w:vMerge/>
            <w:vAlign w:val="center"/>
          </w:tcPr>
          <w:p w14:paraId="535B8CAB" w14:textId="77777777" w:rsidR="002B3025" w:rsidRPr="00DF5598" w:rsidRDefault="002B3025" w:rsidP="00B929BB">
            <w:pPr>
              <w:jc w:val="both"/>
              <w:rPr>
                <w:rFonts w:ascii="Verdana" w:hAnsi="Verdana" w:cs="Arial"/>
                <w:bCs/>
                <w:sz w:val="16"/>
                <w:szCs w:val="16"/>
              </w:rPr>
            </w:pPr>
          </w:p>
        </w:tc>
        <w:tc>
          <w:tcPr>
            <w:tcW w:w="0" w:type="auto"/>
            <w:vAlign w:val="center"/>
          </w:tcPr>
          <w:p w14:paraId="7A30623F"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1.1.2</w:t>
            </w:r>
          </w:p>
        </w:tc>
        <w:tc>
          <w:tcPr>
            <w:tcW w:w="0" w:type="auto"/>
          </w:tcPr>
          <w:p w14:paraId="2D35FAD5"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Operaciones no reveladas (intencionalmente)</w:t>
            </w:r>
          </w:p>
        </w:tc>
      </w:tr>
      <w:tr w:rsidR="00FA0D28" w:rsidRPr="002B3025" w14:paraId="10666CD9" w14:textId="77777777" w:rsidTr="12B437D6">
        <w:tc>
          <w:tcPr>
            <w:tcW w:w="0" w:type="auto"/>
            <w:vMerge/>
            <w:vAlign w:val="center"/>
          </w:tcPr>
          <w:p w14:paraId="7AF23A66" w14:textId="77777777" w:rsidR="002B3025" w:rsidRPr="00DF5598" w:rsidRDefault="002B3025" w:rsidP="00B929BB">
            <w:pPr>
              <w:jc w:val="both"/>
              <w:rPr>
                <w:rFonts w:ascii="Verdana" w:hAnsi="Verdana" w:cs="Arial"/>
                <w:bCs/>
                <w:sz w:val="16"/>
                <w:szCs w:val="16"/>
              </w:rPr>
            </w:pPr>
          </w:p>
        </w:tc>
        <w:tc>
          <w:tcPr>
            <w:tcW w:w="0" w:type="auto"/>
            <w:vMerge/>
            <w:vAlign w:val="center"/>
          </w:tcPr>
          <w:p w14:paraId="39B742D5" w14:textId="77777777" w:rsidR="002B3025" w:rsidRPr="00DF5598" w:rsidRDefault="002B3025" w:rsidP="00B929BB">
            <w:pPr>
              <w:tabs>
                <w:tab w:val="left" w:pos="540"/>
              </w:tabs>
              <w:jc w:val="both"/>
              <w:rPr>
                <w:rFonts w:ascii="Verdana" w:hAnsi="Verdana" w:cs="Arial"/>
                <w:bCs/>
                <w:sz w:val="16"/>
                <w:szCs w:val="16"/>
              </w:rPr>
            </w:pPr>
          </w:p>
        </w:tc>
        <w:tc>
          <w:tcPr>
            <w:tcW w:w="0" w:type="auto"/>
            <w:vMerge/>
            <w:vAlign w:val="center"/>
          </w:tcPr>
          <w:p w14:paraId="468BAEE2" w14:textId="77777777" w:rsidR="002B3025" w:rsidRPr="00DF5598" w:rsidRDefault="002B3025" w:rsidP="00B929BB">
            <w:pPr>
              <w:jc w:val="center"/>
              <w:rPr>
                <w:rFonts w:ascii="Verdana" w:hAnsi="Verdana" w:cs="Arial"/>
                <w:bCs/>
                <w:sz w:val="16"/>
                <w:szCs w:val="16"/>
              </w:rPr>
            </w:pPr>
          </w:p>
        </w:tc>
        <w:tc>
          <w:tcPr>
            <w:tcW w:w="0" w:type="auto"/>
            <w:vMerge/>
            <w:vAlign w:val="center"/>
          </w:tcPr>
          <w:p w14:paraId="77C0F535" w14:textId="77777777" w:rsidR="002B3025" w:rsidRPr="00DF5598" w:rsidRDefault="002B3025" w:rsidP="00B929BB">
            <w:pPr>
              <w:jc w:val="both"/>
              <w:rPr>
                <w:rFonts w:ascii="Verdana" w:hAnsi="Verdana" w:cs="Arial"/>
                <w:bCs/>
                <w:sz w:val="16"/>
                <w:szCs w:val="16"/>
              </w:rPr>
            </w:pPr>
          </w:p>
        </w:tc>
        <w:tc>
          <w:tcPr>
            <w:tcW w:w="0" w:type="auto"/>
            <w:vAlign w:val="center"/>
          </w:tcPr>
          <w:p w14:paraId="408BDBAE"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1.1.3</w:t>
            </w:r>
          </w:p>
        </w:tc>
        <w:tc>
          <w:tcPr>
            <w:tcW w:w="0" w:type="auto"/>
          </w:tcPr>
          <w:p w14:paraId="50776B91"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Operaciones no autorizadas</w:t>
            </w:r>
          </w:p>
        </w:tc>
      </w:tr>
      <w:tr w:rsidR="00FA0D28" w:rsidRPr="002B3025" w14:paraId="7A17245B" w14:textId="77777777" w:rsidTr="12B437D6">
        <w:tc>
          <w:tcPr>
            <w:tcW w:w="0" w:type="auto"/>
            <w:vMerge/>
            <w:vAlign w:val="center"/>
          </w:tcPr>
          <w:p w14:paraId="446A8C23" w14:textId="77777777" w:rsidR="002B3025" w:rsidRPr="00DF5598" w:rsidRDefault="002B3025" w:rsidP="00B929BB">
            <w:pPr>
              <w:jc w:val="both"/>
              <w:rPr>
                <w:rFonts w:ascii="Verdana" w:hAnsi="Verdana" w:cs="Arial"/>
                <w:bCs/>
                <w:sz w:val="16"/>
                <w:szCs w:val="16"/>
              </w:rPr>
            </w:pPr>
          </w:p>
        </w:tc>
        <w:tc>
          <w:tcPr>
            <w:tcW w:w="0" w:type="auto"/>
            <w:vMerge/>
            <w:vAlign w:val="center"/>
          </w:tcPr>
          <w:p w14:paraId="468EE33F" w14:textId="77777777" w:rsidR="002B3025" w:rsidRPr="00DF5598" w:rsidRDefault="002B3025" w:rsidP="00B929BB">
            <w:pPr>
              <w:tabs>
                <w:tab w:val="left" w:pos="540"/>
              </w:tabs>
              <w:jc w:val="both"/>
              <w:rPr>
                <w:rFonts w:ascii="Verdana" w:hAnsi="Verdana" w:cs="Arial"/>
                <w:bCs/>
                <w:sz w:val="16"/>
                <w:szCs w:val="16"/>
              </w:rPr>
            </w:pPr>
          </w:p>
        </w:tc>
        <w:tc>
          <w:tcPr>
            <w:tcW w:w="0" w:type="auto"/>
            <w:vMerge/>
            <w:vAlign w:val="center"/>
          </w:tcPr>
          <w:p w14:paraId="72B0BB21" w14:textId="77777777" w:rsidR="002B3025" w:rsidRPr="00DF5598" w:rsidRDefault="002B3025" w:rsidP="00B929BB">
            <w:pPr>
              <w:jc w:val="center"/>
              <w:rPr>
                <w:rFonts w:ascii="Verdana" w:hAnsi="Verdana" w:cs="Arial"/>
                <w:bCs/>
                <w:sz w:val="16"/>
                <w:szCs w:val="16"/>
              </w:rPr>
            </w:pPr>
          </w:p>
        </w:tc>
        <w:tc>
          <w:tcPr>
            <w:tcW w:w="0" w:type="auto"/>
            <w:vMerge/>
            <w:vAlign w:val="center"/>
          </w:tcPr>
          <w:p w14:paraId="0107D9A1" w14:textId="77777777" w:rsidR="002B3025" w:rsidRPr="00DF5598" w:rsidRDefault="002B3025" w:rsidP="00B929BB">
            <w:pPr>
              <w:jc w:val="both"/>
              <w:rPr>
                <w:rFonts w:ascii="Verdana" w:hAnsi="Verdana" w:cs="Arial"/>
                <w:bCs/>
                <w:sz w:val="16"/>
                <w:szCs w:val="16"/>
              </w:rPr>
            </w:pPr>
          </w:p>
        </w:tc>
        <w:tc>
          <w:tcPr>
            <w:tcW w:w="0" w:type="auto"/>
            <w:vAlign w:val="center"/>
          </w:tcPr>
          <w:p w14:paraId="253493B0"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1.1.4</w:t>
            </w:r>
          </w:p>
        </w:tc>
        <w:tc>
          <w:tcPr>
            <w:tcW w:w="0" w:type="auto"/>
          </w:tcPr>
          <w:p w14:paraId="6D128221"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Valoración errónea de posiciones (intencional)</w:t>
            </w:r>
          </w:p>
        </w:tc>
      </w:tr>
      <w:tr w:rsidR="00FA0D28" w:rsidRPr="002B3025" w14:paraId="1319391A" w14:textId="77777777" w:rsidTr="12B437D6">
        <w:tc>
          <w:tcPr>
            <w:tcW w:w="0" w:type="auto"/>
            <w:vMerge/>
            <w:vAlign w:val="center"/>
          </w:tcPr>
          <w:p w14:paraId="64DAC319" w14:textId="77777777" w:rsidR="002B3025" w:rsidRPr="00DF5598" w:rsidRDefault="002B3025" w:rsidP="00B929BB">
            <w:pPr>
              <w:rPr>
                <w:rFonts w:ascii="Verdana" w:hAnsi="Verdana" w:cs="Arial"/>
                <w:bCs/>
                <w:sz w:val="16"/>
                <w:szCs w:val="16"/>
              </w:rPr>
            </w:pPr>
          </w:p>
        </w:tc>
        <w:tc>
          <w:tcPr>
            <w:tcW w:w="0" w:type="auto"/>
            <w:vMerge/>
            <w:vAlign w:val="center"/>
          </w:tcPr>
          <w:p w14:paraId="377B82A7" w14:textId="77777777" w:rsidR="002B3025" w:rsidRPr="00DF5598" w:rsidRDefault="002B3025" w:rsidP="00B929BB">
            <w:pPr>
              <w:tabs>
                <w:tab w:val="left" w:pos="540"/>
              </w:tabs>
              <w:rPr>
                <w:rFonts w:ascii="Verdana" w:hAnsi="Verdana" w:cs="Arial"/>
                <w:bCs/>
                <w:sz w:val="16"/>
                <w:szCs w:val="16"/>
              </w:rPr>
            </w:pPr>
          </w:p>
        </w:tc>
        <w:tc>
          <w:tcPr>
            <w:tcW w:w="0" w:type="auto"/>
            <w:vMerge w:val="restart"/>
            <w:vAlign w:val="center"/>
          </w:tcPr>
          <w:p w14:paraId="18502214"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1.2</w:t>
            </w:r>
          </w:p>
        </w:tc>
        <w:tc>
          <w:tcPr>
            <w:tcW w:w="0" w:type="auto"/>
            <w:vMerge w:val="restart"/>
            <w:vAlign w:val="center"/>
          </w:tcPr>
          <w:p w14:paraId="553811D6"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Hurto y Fraude Interno</w:t>
            </w:r>
          </w:p>
        </w:tc>
        <w:tc>
          <w:tcPr>
            <w:tcW w:w="0" w:type="auto"/>
            <w:vAlign w:val="center"/>
          </w:tcPr>
          <w:p w14:paraId="63111DE6"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1.2.1</w:t>
            </w:r>
          </w:p>
        </w:tc>
        <w:tc>
          <w:tcPr>
            <w:tcW w:w="0" w:type="auto"/>
            <w:vAlign w:val="center"/>
          </w:tcPr>
          <w:p w14:paraId="22B4F49F"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Fraude</w:t>
            </w:r>
          </w:p>
        </w:tc>
      </w:tr>
      <w:tr w:rsidR="00FA0D28" w:rsidRPr="002B3025" w14:paraId="512C832F" w14:textId="77777777" w:rsidTr="12B437D6">
        <w:tc>
          <w:tcPr>
            <w:tcW w:w="0" w:type="auto"/>
            <w:vMerge/>
            <w:vAlign w:val="center"/>
          </w:tcPr>
          <w:p w14:paraId="49B05CE8" w14:textId="77777777" w:rsidR="002B3025" w:rsidRPr="00DF5598" w:rsidRDefault="002B3025" w:rsidP="00B929BB">
            <w:pPr>
              <w:rPr>
                <w:rFonts w:ascii="Verdana" w:hAnsi="Verdana" w:cs="Arial"/>
                <w:bCs/>
                <w:sz w:val="16"/>
                <w:szCs w:val="16"/>
              </w:rPr>
            </w:pPr>
          </w:p>
        </w:tc>
        <w:tc>
          <w:tcPr>
            <w:tcW w:w="0" w:type="auto"/>
            <w:vMerge/>
            <w:vAlign w:val="center"/>
          </w:tcPr>
          <w:p w14:paraId="0DE90E8B"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40DFB14E" w14:textId="77777777" w:rsidR="002B3025" w:rsidRPr="00DF5598" w:rsidRDefault="002B3025" w:rsidP="00B929BB">
            <w:pPr>
              <w:rPr>
                <w:rFonts w:ascii="Verdana" w:hAnsi="Verdana" w:cs="Arial"/>
                <w:bCs/>
                <w:sz w:val="16"/>
                <w:szCs w:val="16"/>
              </w:rPr>
            </w:pPr>
          </w:p>
        </w:tc>
        <w:tc>
          <w:tcPr>
            <w:tcW w:w="0" w:type="auto"/>
            <w:vMerge/>
            <w:vAlign w:val="center"/>
          </w:tcPr>
          <w:p w14:paraId="60A1C9C3" w14:textId="77777777" w:rsidR="002B3025" w:rsidRPr="00DF5598" w:rsidRDefault="002B3025" w:rsidP="00B929BB">
            <w:pPr>
              <w:rPr>
                <w:rFonts w:ascii="Verdana" w:hAnsi="Verdana" w:cs="Arial"/>
                <w:bCs/>
                <w:sz w:val="16"/>
                <w:szCs w:val="16"/>
              </w:rPr>
            </w:pPr>
          </w:p>
        </w:tc>
        <w:tc>
          <w:tcPr>
            <w:tcW w:w="0" w:type="auto"/>
            <w:vAlign w:val="center"/>
          </w:tcPr>
          <w:p w14:paraId="39C6222B"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1.2.2</w:t>
            </w:r>
          </w:p>
        </w:tc>
        <w:tc>
          <w:tcPr>
            <w:tcW w:w="0" w:type="auto"/>
            <w:vAlign w:val="center"/>
          </w:tcPr>
          <w:p w14:paraId="0119ADC8"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Hurto / extorsión / malversación de activos</w:t>
            </w:r>
          </w:p>
        </w:tc>
      </w:tr>
      <w:tr w:rsidR="00FA0D28" w:rsidRPr="002B3025" w14:paraId="6835E3D3" w14:textId="77777777" w:rsidTr="12B437D6">
        <w:tc>
          <w:tcPr>
            <w:tcW w:w="0" w:type="auto"/>
            <w:vMerge/>
            <w:vAlign w:val="center"/>
          </w:tcPr>
          <w:p w14:paraId="33B17E63" w14:textId="77777777" w:rsidR="002B3025" w:rsidRPr="00DF5598" w:rsidRDefault="002B3025" w:rsidP="00B929BB">
            <w:pPr>
              <w:rPr>
                <w:rFonts w:ascii="Verdana" w:hAnsi="Verdana" w:cs="Arial"/>
                <w:bCs/>
                <w:sz w:val="16"/>
                <w:szCs w:val="16"/>
              </w:rPr>
            </w:pPr>
          </w:p>
        </w:tc>
        <w:tc>
          <w:tcPr>
            <w:tcW w:w="0" w:type="auto"/>
            <w:vMerge/>
            <w:vAlign w:val="center"/>
          </w:tcPr>
          <w:p w14:paraId="3B4A78E0"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330C0C35" w14:textId="77777777" w:rsidR="002B3025" w:rsidRPr="00DF5598" w:rsidRDefault="002B3025" w:rsidP="00B929BB">
            <w:pPr>
              <w:rPr>
                <w:rFonts w:ascii="Verdana" w:hAnsi="Verdana" w:cs="Arial"/>
                <w:bCs/>
                <w:sz w:val="16"/>
                <w:szCs w:val="16"/>
              </w:rPr>
            </w:pPr>
          </w:p>
        </w:tc>
        <w:tc>
          <w:tcPr>
            <w:tcW w:w="0" w:type="auto"/>
            <w:vMerge/>
            <w:vAlign w:val="center"/>
          </w:tcPr>
          <w:p w14:paraId="703D1721" w14:textId="77777777" w:rsidR="002B3025" w:rsidRPr="00DF5598" w:rsidRDefault="002B3025" w:rsidP="00B929BB">
            <w:pPr>
              <w:rPr>
                <w:rFonts w:ascii="Verdana" w:hAnsi="Verdana" w:cs="Arial"/>
                <w:bCs/>
                <w:sz w:val="16"/>
                <w:szCs w:val="16"/>
              </w:rPr>
            </w:pPr>
          </w:p>
        </w:tc>
        <w:tc>
          <w:tcPr>
            <w:tcW w:w="0" w:type="auto"/>
            <w:vAlign w:val="center"/>
          </w:tcPr>
          <w:p w14:paraId="72AD50EF"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1.2.3</w:t>
            </w:r>
          </w:p>
        </w:tc>
        <w:tc>
          <w:tcPr>
            <w:tcW w:w="0" w:type="auto"/>
            <w:vAlign w:val="center"/>
          </w:tcPr>
          <w:p w14:paraId="7E06DC14"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Uso indebido de activos</w:t>
            </w:r>
          </w:p>
        </w:tc>
      </w:tr>
      <w:tr w:rsidR="00FA0D28" w:rsidRPr="002B3025" w14:paraId="10DC6040" w14:textId="77777777" w:rsidTr="12B437D6">
        <w:tc>
          <w:tcPr>
            <w:tcW w:w="0" w:type="auto"/>
            <w:vMerge/>
            <w:vAlign w:val="center"/>
          </w:tcPr>
          <w:p w14:paraId="7671F987" w14:textId="77777777" w:rsidR="002B3025" w:rsidRPr="00DF5598" w:rsidRDefault="002B3025" w:rsidP="00B929BB">
            <w:pPr>
              <w:rPr>
                <w:rFonts w:ascii="Verdana" w:hAnsi="Verdana" w:cs="Arial"/>
                <w:bCs/>
                <w:sz w:val="16"/>
                <w:szCs w:val="16"/>
              </w:rPr>
            </w:pPr>
          </w:p>
        </w:tc>
        <w:tc>
          <w:tcPr>
            <w:tcW w:w="0" w:type="auto"/>
            <w:vMerge/>
            <w:vAlign w:val="center"/>
          </w:tcPr>
          <w:p w14:paraId="0D7EB51E"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50F70A27" w14:textId="77777777" w:rsidR="002B3025" w:rsidRPr="00DF5598" w:rsidRDefault="002B3025" w:rsidP="00B929BB">
            <w:pPr>
              <w:rPr>
                <w:rFonts w:ascii="Verdana" w:hAnsi="Verdana" w:cs="Arial"/>
                <w:bCs/>
                <w:sz w:val="16"/>
                <w:szCs w:val="16"/>
              </w:rPr>
            </w:pPr>
          </w:p>
        </w:tc>
        <w:tc>
          <w:tcPr>
            <w:tcW w:w="0" w:type="auto"/>
            <w:vMerge/>
            <w:vAlign w:val="center"/>
          </w:tcPr>
          <w:p w14:paraId="304D543C" w14:textId="77777777" w:rsidR="002B3025" w:rsidRPr="00DF5598" w:rsidRDefault="002B3025" w:rsidP="00B929BB">
            <w:pPr>
              <w:rPr>
                <w:rFonts w:ascii="Verdana" w:hAnsi="Verdana" w:cs="Arial"/>
                <w:bCs/>
                <w:sz w:val="16"/>
                <w:szCs w:val="16"/>
              </w:rPr>
            </w:pPr>
          </w:p>
        </w:tc>
        <w:tc>
          <w:tcPr>
            <w:tcW w:w="0" w:type="auto"/>
            <w:vAlign w:val="center"/>
          </w:tcPr>
          <w:p w14:paraId="21A54203"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1.2.4</w:t>
            </w:r>
          </w:p>
        </w:tc>
        <w:tc>
          <w:tcPr>
            <w:tcW w:w="0" w:type="auto"/>
            <w:vAlign w:val="center"/>
          </w:tcPr>
          <w:p w14:paraId="5BE23A1D"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Apropiación de cuentas / Suplantación de identidad</w:t>
            </w:r>
          </w:p>
        </w:tc>
      </w:tr>
      <w:tr w:rsidR="00FA0D28" w:rsidRPr="002B3025" w14:paraId="5E83880B" w14:textId="77777777" w:rsidTr="12B437D6">
        <w:tc>
          <w:tcPr>
            <w:tcW w:w="0" w:type="auto"/>
            <w:vMerge/>
            <w:vAlign w:val="center"/>
          </w:tcPr>
          <w:p w14:paraId="7165386F" w14:textId="77777777" w:rsidR="002B3025" w:rsidRPr="00DF5598" w:rsidRDefault="002B3025" w:rsidP="00B929BB">
            <w:pPr>
              <w:rPr>
                <w:rFonts w:ascii="Verdana" w:hAnsi="Verdana" w:cs="Arial"/>
                <w:bCs/>
                <w:sz w:val="16"/>
                <w:szCs w:val="16"/>
              </w:rPr>
            </w:pPr>
          </w:p>
        </w:tc>
        <w:tc>
          <w:tcPr>
            <w:tcW w:w="0" w:type="auto"/>
            <w:vMerge/>
            <w:vAlign w:val="center"/>
          </w:tcPr>
          <w:p w14:paraId="5332FB93"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65EA1CFA" w14:textId="77777777" w:rsidR="002B3025" w:rsidRPr="00DF5598" w:rsidRDefault="002B3025" w:rsidP="00B929BB">
            <w:pPr>
              <w:rPr>
                <w:rFonts w:ascii="Verdana" w:hAnsi="Verdana" w:cs="Arial"/>
                <w:bCs/>
                <w:sz w:val="16"/>
                <w:szCs w:val="16"/>
              </w:rPr>
            </w:pPr>
          </w:p>
        </w:tc>
        <w:tc>
          <w:tcPr>
            <w:tcW w:w="0" w:type="auto"/>
            <w:vMerge/>
            <w:vAlign w:val="center"/>
          </w:tcPr>
          <w:p w14:paraId="61669635" w14:textId="77777777" w:rsidR="002B3025" w:rsidRPr="00DF5598" w:rsidRDefault="002B3025" w:rsidP="00B929BB">
            <w:pPr>
              <w:rPr>
                <w:rFonts w:ascii="Verdana" w:hAnsi="Verdana" w:cs="Arial"/>
                <w:bCs/>
                <w:sz w:val="16"/>
                <w:szCs w:val="16"/>
              </w:rPr>
            </w:pPr>
          </w:p>
        </w:tc>
        <w:tc>
          <w:tcPr>
            <w:tcW w:w="0" w:type="auto"/>
            <w:vAlign w:val="center"/>
          </w:tcPr>
          <w:p w14:paraId="379D64F8"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1.2.5</w:t>
            </w:r>
          </w:p>
        </w:tc>
        <w:tc>
          <w:tcPr>
            <w:tcW w:w="0" w:type="auto"/>
            <w:vAlign w:val="center"/>
          </w:tcPr>
          <w:p w14:paraId="2C373F48"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Destrucción dolosa de activos</w:t>
            </w:r>
          </w:p>
        </w:tc>
      </w:tr>
      <w:tr w:rsidR="00FA0D28" w:rsidRPr="002B3025" w14:paraId="295F3D9E" w14:textId="77777777" w:rsidTr="12B437D6">
        <w:tc>
          <w:tcPr>
            <w:tcW w:w="0" w:type="auto"/>
            <w:vMerge/>
            <w:vAlign w:val="center"/>
          </w:tcPr>
          <w:p w14:paraId="7706F47F" w14:textId="77777777" w:rsidR="002B3025" w:rsidRPr="00DF5598" w:rsidRDefault="002B3025" w:rsidP="00B929BB">
            <w:pPr>
              <w:rPr>
                <w:rFonts w:ascii="Verdana" w:hAnsi="Verdana" w:cs="Arial"/>
                <w:bCs/>
                <w:sz w:val="16"/>
                <w:szCs w:val="16"/>
              </w:rPr>
            </w:pPr>
          </w:p>
        </w:tc>
        <w:tc>
          <w:tcPr>
            <w:tcW w:w="0" w:type="auto"/>
            <w:vMerge/>
            <w:vAlign w:val="center"/>
          </w:tcPr>
          <w:p w14:paraId="60DE988E"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568F797E" w14:textId="77777777" w:rsidR="002B3025" w:rsidRPr="00DF5598" w:rsidRDefault="002B3025" w:rsidP="00B929BB">
            <w:pPr>
              <w:rPr>
                <w:rFonts w:ascii="Verdana" w:hAnsi="Verdana" w:cs="Arial"/>
                <w:bCs/>
                <w:sz w:val="16"/>
                <w:szCs w:val="16"/>
              </w:rPr>
            </w:pPr>
          </w:p>
        </w:tc>
        <w:tc>
          <w:tcPr>
            <w:tcW w:w="0" w:type="auto"/>
            <w:vMerge/>
            <w:vAlign w:val="center"/>
          </w:tcPr>
          <w:p w14:paraId="5934C4EB" w14:textId="77777777" w:rsidR="002B3025" w:rsidRPr="00DF5598" w:rsidRDefault="002B3025" w:rsidP="00B929BB">
            <w:pPr>
              <w:rPr>
                <w:rFonts w:ascii="Verdana" w:hAnsi="Verdana" w:cs="Arial"/>
                <w:bCs/>
                <w:sz w:val="16"/>
                <w:szCs w:val="16"/>
              </w:rPr>
            </w:pPr>
          </w:p>
        </w:tc>
        <w:tc>
          <w:tcPr>
            <w:tcW w:w="0" w:type="auto"/>
            <w:vAlign w:val="center"/>
          </w:tcPr>
          <w:p w14:paraId="587345A9"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1.2.6</w:t>
            </w:r>
          </w:p>
        </w:tc>
        <w:tc>
          <w:tcPr>
            <w:tcW w:w="0" w:type="auto"/>
            <w:vAlign w:val="center"/>
          </w:tcPr>
          <w:p w14:paraId="59443983"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Falsificación interna de la información</w:t>
            </w:r>
          </w:p>
        </w:tc>
      </w:tr>
      <w:tr w:rsidR="00FA0D28" w:rsidRPr="002B3025" w14:paraId="0E77FAE6" w14:textId="77777777" w:rsidTr="12B437D6">
        <w:tc>
          <w:tcPr>
            <w:tcW w:w="0" w:type="auto"/>
            <w:vMerge/>
            <w:vAlign w:val="center"/>
          </w:tcPr>
          <w:p w14:paraId="45CBA6DF" w14:textId="77777777" w:rsidR="002B3025" w:rsidRPr="00DF5598" w:rsidRDefault="002B3025" w:rsidP="00B929BB">
            <w:pPr>
              <w:rPr>
                <w:rFonts w:ascii="Verdana" w:hAnsi="Verdana" w:cs="Arial"/>
                <w:bCs/>
                <w:sz w:val="16"/>
                <w:szCs w:val="16"/>
              </w:rPr>
            </w:pPr>
          </w:p>
        </w:tc>
        <w:tc>
          <w:tcPr>
            <w:tcW w:w="0" w:type="auto"/>
            <w:vMerge/>
            <w:vAlign w:val="center"/>
          </w:tcPr>
          <w:p w14:paraId="30CD9600"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5A00416F" w14:textId="77777777" w:rsidR="002B3025" w:rsidRPr="00DF5598" w:rsidRDefault="002B3025" w:rsidP="00B929BB">
            <w:pPr>
              <w:rPr>
                <w:rFonts w:ascii="Verdana" w:hAnsi="Verdana" w:cs="Arial"/>
                <w:bCs/>
                <w:sz w:val="16"/>
                <w:szCs w:val="16"/>
              </w:rPr>
            </w:pPr>
          </w:p>
        </w:tc>
        <w:tc>
          <w:tcPr>
            <w:tcW w:w="0" w:type="auto"/>
            <w:vMerge/>
            <w:vAlign w:val="center"/>
          </w:tcPr>
          <w:p w14:paraId="56DB2B72" w14:textId="77777777" w:rsidR="002B3025" w:rsidRPr="00DF5598" w:rsidRDefault="002B3025" w:rsidP="00B929BB">
            <w:pPr>
              <w:rPr>
                <w:rFonts w:ascii="Verdana" w:hAnsi="Verdana" w:cs="Arial"/>
                <w:bCs/>
                <w:sz w:val="16"/>
                <w:szCs w:val="16"/>
              </w:rPr>
            </w:pPr>
          </w:p>
        </w:tc>
        <w:tc>
          <w:tcPr>
            <w:tcW w:w="0" w:type="auto"/>
            <w:vAlign w:val="center"/>
          </w:tcPr>
          <w:p w14:paraId="311E9260"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1.2.7</w:t>
            </w:r>
          </w:p>
        </w:tc>
        <w:tc>
          <w:tcPr>
            <w:tcW w:w="0" w:type="auto"/>
            <w:vAlign w:val="center"/>
          </w:tcPr>
          <w:p w14:paraId="7CE23E2B"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Utilización de cheques sin fondos</w:t>
            </w:r>
          </w:p>
        </w:tc>
      </w:tr>
      <w:tr w:rsidR="00FA0D28" w:rsidRPr="002B3025" w14:paraId="4C90A0D7" w14:textId="77777777" w:rsidTr="12B437D6">
        <w:tc>
          <w:tcPr>
            <w:tcW w:w="0" w:type="auto"/>
            <w:vMerge/>
            <w:vAlign w:val="center"/>
          </w:tcPr>
          <w:p w14:paraId="2BE10606" w14:textId="77777777" w:rsidR="002B3025" w:rsidRPr="00DF5598" w:rsidRDefault="002B3025" w:rsidP="00B929BB">
            <w:pPr>
              <w:rPr>
                <w:rFonts w:ascii="Verdana" w:hAnsi="Verdana" w:cs="Arial"/>
                <w:bCs/>
                <w:sz w:val="16"/>
                <w:szCs w:val="16"/>
              </w:rPr>
            </w:pPr>
          </w:p>
        </w:tc>
        <w:tc>
          <w:tcPr>
            <w:tcW w:w="0" w:type="auto"/>
            <w:vMerge/>
            <w:vAlign w:val="center"/>
          </w:tcPr>
          <w:p w14:paraId="72B0DE0E"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0643C30A" w14:textId="77777777" w:rsidR="002B3025" w:rsidRPr="00DF5598" w:rsidRDefault="002B3025" w:rsidP="00B929BB">
            <w:pPr>
              <w:rPr>
                <w:rFonts w:ascii="Verdana" w:hAnsi="Verdana" w:cs="Arial"/>
                <w:bCs/>
                <w:sz w:val="16"/>
                <w:szCs w:val="16"/>
              </w:rPr>
            </w:pPr>
          </w:p>
        </w:tc>
        <w:tc>
          <w:tcPr>
            <w:tcW w:w="0" w:type="auto"/>
            <w:vMerge/>
            <w:vAlign w:val="center"/>
          </w:tcPr>
          <w:p w14:paraId="709E0529" w14:textId="77777777" w:rsidR="002B3025" w:rsidRPr="00DF5598" w:rsidRDefault="002B3025" w:rsidP="00B929BB">
            <w:pPr>
              <w:rPr>
                <w:rFonts w:ascii="Verdana" w:hAnsi="Verdana" w:cs="Arial"/>
                <w:bCs/>
                <w:sz w:val="16"/>
                <w:szCs w:val="16"/>
              </w:rPr>
            </w:pPr>
          </w:p>
        </w:tc>
        <w:tc>
          <w:tcPr>
            <w:tcW w:w="0" w:type="auto"/>
            <w:vAlign w:val="center"/>
          </w:tcPr>
          <w:p w14:paraId="7938EE60"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1.2.8</w:t>
            </w:r>
          </w:p>
        </w:tc>
        <w:tc>
          <w:tcPr>
            <w:tcW w:w="0" w:type="auto"/>
            <w:vAlign w:val="center"/>
          </w:tcPr>
          <w:p w14:paraId="181DDC14"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Incumplimiento / evasión de impuestos (intencional)</w:t>
            </w:r>
          </w:p>
        </w:tc>
      </w:tr>
      <w:tr w:rsidR="00FA0D28" w:rsidRPr="002B3025" w14:paraId="33C728BC" w14:textId="77777777" w:rsidTr="12B437D6">
        <w:tc>
          <w:tcPr>
            <w:tcW w:w="0" w:type="auto"/>
            <w:vMerge/>
            <w:vAlign w:val="center"/>
          </w:tcPr>
          <w:p w14:paraId="63772D13" w14:textId="77777777" w:rsidR="002B3025" w:rsidRPr="00DF5598" w:rsidRDefault="002B3025" w:rsidP="00B929BB">
            <w:pPr>
              <w:rPr>
                <w:rFonts w:ascii="Verdana" w:hAnsi="Verdana" w:cs="Arial"/>
                <w:bCs/>
                <w:sz w:val="16"/>
                <w:szCs w:val="16"/>
              </w:rPr>
            </w:pPr>
          </w:p>
        </w:tc>
        <w:tc>
          <w:tcPr>
            <w:tcW w:w="0" w:type="auto"/>
            <w:vMerge/>
            <w:vAlign w:val="center"/>
          </w:tcPr>
          <w:p w14:paraId="6E090AFD"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6BF78AFC" w14:textId="77777777" w:rsidR="002B3025" w:rsidRPr="00DF5598" w:rsidRDefault="002B3025" w:rsidP="00B929BB">
            <w:pPr>
              <w:rPr>
                <w:rFonts w:ascii="Verdana" w:hAnsi="Verdana" w:cs="Arial"/>
                <w:bCs/>
                <w:sz w:val="16"/>
                <w:szCs w:val="16"/>
              </w:rPr>
            </w:pPr>
          </w:p>
        </w:tc>
        <w:tc>
          <w:tcPr>
            <w:tcW w:w="0" w:type="auto"/>
            <w:vMerge/>
            <w:vAlign w:val="center"/>
          </w:tcPr>
          <w:p w14:paraId="129BE826" w14:textId="77777777" w:rsidR="002B3025" w:rsidRPr="00DF5598" w:rsidRDefault="002B3025" w:rsidP="00B929BB">
            <w:pPr>
              <w:rPr>
                <w:rFonts w:ascii="Verdana" w:hAnsi="Verdana" w:cs="Arial"/>
                <w:bCs/>
                <w:sz w:val="16"/>
                <w:szCs w:val="16"/>
              </w:rPr>
            </w:pPr>
          </w:p>
        </w:tc>
        <w:tc>
          <w:tcPr>
            <w:tcW w:w="0" w:type="auto"/>
            <w:vAlign w:val="center"/>
          </w:tcPr>
          <w:p w14:paraId="0225C45D"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1.2.9</w:t>
            </w:r>
          </w:p>
        </w:tc>
        <w:tc>
          <w:tcPr>
            <w:tcW w:w="0" w:type="auto"/>
            <w:vAlign w:val="center"/>
          </w:tcPr>
          <w:p w14:paraId="7DEACCFE"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Soborno / cohecho</w:t>
            </w:r>
          </w:p>
        </w:tc>
      </w:tr>
      <w:tr w:rsidR="00FA0D28" w:rsidRPr="002B3025" w14:paraId="31A48525" w14:textId="77777777" w:rsidTr="12B437D6">
        <w:tc>
          <w:tcPr>
            <w:tcW w:w="0" w:type="auto"/>
            <w:vMerge/>
            <w:vAlign w:val="center"/>
          </w:tcPr>
          <w:p w14:paraId="7A727375" w14:textId="77777777" w:rsidR="002B3025" w:rsidRPr="00DF5598" w:rsidRDefault="002B3025" w:rsidP="00B929BB">
            <w:pPr>
              <w:rPr>
                <w:rFonts w:ascii="Verdana" w:hAnsi="Verdana" w:cs="Arial"/>
                <w:bCs/>
                <w:sz w:val="16"/>
                <w:szCs w:val="16"/>
              </w:rPr>
            </w:pPr>
          </w:p>
        </w:tc>
        <w:tc>
          <w:tcPr>
            <w:tcW w:w="0" w:type="auto"/>
            <w:vMerge/>
            <w:vAlign w:val="center"/>
          </w:tcPr>
          <w:p w14:paraId="13C4546E"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6DE7BC6D" w14:textId="77777777" w:rsidR="002B3025" w:rsidRPr="00DF5598" w:rsidRDefault="002B3025" w:rsidP="00B929BB">
            <w:pPr>
              <w:rPr>
                <w:rFonts w:ascii="Verdana" w:hAnsi="Verdana" w:cs="Arial"/>
                <w:bCs/>
                <w:sz w:val="16"/>
                <w:szCs w:val="16"/>
              </w:rPr>
            </w:pPr>
          </w:p>
        </w:tc>
        <w:tc>
          <w:tcPr>
            <w:tcW w:w="0" w:type="auto"/>
            <w:vMerge/>
            <w:vAlign w:val="center"/>
          </w:tcPr>
          <w:p w14:paraId="6E3491D6" w14:textId="77777777" w:rsidR="002B3025" w:rsidRPr="00DF5598" w:rsidRDefault="002B3025" w:rsidP="00B929BB">
            <w:pPr>
              <w:rPr>
                <w:rFonts w:ascii="Verdana" w:hAnsi="Verdana" w:cs="Arial"/>
                <w:bCs/>
                <w:sz w:val="16"/>
                <w:szCs w:val="16"/>
              </w:rPr>
            </w:pPr>
          </w:p>
        </w:tc>
        <w:tc>
          <w:tcPr>
            <w:tcW w:w="0" w:type="auto"/>
            <w:vAlign w:val="center"/>
          </w:tcPr>
          <w:p w14:paraId="71CBC2D7"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1.2.10</w:t>
            </w:r>
          </w:p>
        </w:tc>
        <w:tc>
          <w:tcPr>
            <w:tcW w:w="0" w:type="auto"/>
            <w:vAlign w:val="center"/>
          </w:tcPr>
          <w:p w14:paraId="30FE94F0"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Uso indebido de información privilegiada</w:t>
            </w:r>
          </w:p>
        </w:tc>
      </w:tr>
      <w:tr w:rsidR="00FA0D28" w:rsidRPr="002B3025" w14:paraId="2FF25C49" w14:textId="77777777" w:rsidTr="12B437D6">
        <w:tc>
          <w:tcPr>
            <w:tcW w:w="0" w:type="auto"/>
            <w:vMerge/>
            <w:vAlign w:val="center"/>
          </w:tcPr>
          <w:p w14:paraId="0F949AA3" w14:textId="77777777" w:rsidR="002B3025" w:rsidRPr="00DF5598" w:rsidRDefault="002B3025" w:rsidP="00B929BB">
            <w:pPr>
              <w:rPr>
                <w:rFonts w:ascii="Verdana" w:hAnsi="Verdana" w:cs="Arial"/>
                <w:bCs/>
                <w:sz w:val="16"/>
                <w:szCs w:val="16"/>
              </w:rPr>
            </w:pPr>
          </w:p>
        </w:tc>
        <w:tc>
          <w:tcPr>
            <w:tcW w:w="0" w:type="auto"/>
            <w:vMerge/>
            <w:vAlign w:val="center"/>
          </w:tcPr>
          <w:p w14:paraId="52FD098C" w14:textId="77777777" w:rsidR="002B3025" w:rsidRPr="00DF5598" w:rsidRDefault="002B3025" w:rsidP="00B929BB">
            <w:pPr>
              <w:tabs>
                <w:tab w:val="left" w:pos="540"/>
              </w:tabs>
              <w:rPr>
                <w:rFonts w:ascii="Verdana" w:hAnsi="Verdana" w:cs="Arial"/>
                <w:bCs/>
                <w:sz w:val="16"/>
                <w:szCs w:val="16"/>
              </w:rPr>
            </w:pPr>
          </w:p>
        </w:tc>
        <w:tc>
          <w:tcPr>
            <w:tcW w:w="0" w:type="auto"/>
            <w:vMerge w:val="restart"/>
            <w:vAlign w:val="center"/>
          </w:tcPr>
          <w:p w14:paraId="506431C0"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1.3</w:t>
            </w:r>
          </w:p>
        </w:tc>
        <w:tc>
          <w:tcPr>
            <w:tcW w:w="0" w:type="auto"/>
            <w:vMerge w:val="restart"/>
            <w:vAlign w:val="center"/>
          </w:tcPr>
          <w:p w14:paraId="2ED57030"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Seguridad de los sistemas</w:t>
            </w:r>
          </w:p>
        </w:tc>
        <w:tc>
          <w:tcPr>
            <w:tcW w:w="0" w:type="auto"/>
            <w:vAlign w:val="center"/>
          </w:tcPr>
          <w:p w14:paraId="4D3DA852"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1.3.1</w:t>
            </w:r>
          </w:p>
        </w:tc>
        <w:tc>
          <w:tcPr>
            <w:tcW w:w="0" w:type="auto"/>
            <w:vAlign w:val="center"/>
          </w:tcPr>
          <w:p w14:paraId="516F252F"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Vulneración de sistemas de seguridad</w:t>
            </w:r>
          </w:p>
        </w:tc>
      </w:tr>
      <w:tr w:rsidR="00FA0D28" w:rsidRPr="002B3025" w14:paraId="56575CBC" w14:textId="77777777" w:rsidTr="12B437D6">
        <w:tc>
          <w:tcPr>
            <w:tcW w:w="0" w:type="auto"/>
            <w:vMerge/>
            <w:vAlign w:val="center"/>
          </w:tcPr>
          <w:p w14:paraId="7FCB18AF" w14:textId="77777777" w:rsidR="002B3025" w:rsidRPr="00DF5598" w:rsidRDefault="002B3025" w:rsidP="00B929BB">
            <w:pPr>
              <w:rPr>
                <w:rFonts w:ascii="Verdana" w:hAnsi="Verdana" w:cs="Arial"/>
                <w:bCs/>
                <w:sz w:val="16"/>
                <w:szCs w:val="16"/>
              </w:rPr>
            </w:pPr>
          </w:p>
        </w:tc>
        <w:tc>
          <w:tcPr>
            <w:tcW w:w="0" w:type="auto"/>
            <w:vMerge/>
            <w:vAlign w:val="center"/>
          </w:tcPr>
          <w:p w14:paraId="2D7EEC4F"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793C5A8D" w14:textId="77777777" w:rsidR="002B3025" w:rsidRPr="00DF5598" w:rsidRDefault="002B3025" w:rsidP="00B929BB">
            <w:pPr>
              <w:rPr>
                <w:rFonts w:ascii="Verdana" w:hAnsi="Verdana" w:cs="Arial"/>
                <w:bCs/>
                <w:sz w:val="16"/>
                <w:szCs w:val="16"/>
              </w:rPr>
            </w:pPr>
          </w:p>
        </w:tc>
        <w:tc>
          <w:tcPr>
            <w:tcW w:w="0" w:type="auto"/>
            <w:vMerge/>
            <w:vAlign w:val="center"/>
          </w:tcPr>
          <w:p w14:paraId="1B6ADAD8" w14:textId="77777777" w:rsidR="002B3025" w:rsidRPr="00DF5598" w:rsidRDefault="002B3025" w:rsidP="00B929BB">
            <w:pPr>
              <w:rPr>
                <w:rFonts w:ascii="Verdana" w:hAnsi="Verdana" w:cs="Arial"/>
                <w:bCs/>
                <w:sz w:val="16"/>
                <w:szCs w:val="16"/>
              </w:rPr>
            </w:pPr>
          </w:p>
        </w:tc>
        <w:tc>
          <w:tcPr>
            <w:tcW w:w="0" w:type="auto"/>
            <w:vAlign w:val="center"/>
          </w:tcPr>
          <w:p w14:paraId="6D5A619D"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1.3.2</w:t>
            </w:r>
          </w:p>
        </w:tc>
        <w:tc>
          <w:tcPr>
            <w:tcW w:w="0" w:type="auto"/>
            <w:vAlign w:val="center"/>
          </w:tcPr>
          <w:p w14:paraId="3F5FB960"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Daños por ataques informáticos</w:t>
            </w:r>
          </w:p>
        </w:tc>
      </w:tr>
      <w:tr w:rsidR="00FA0D28" w:rsidRPr="002B3025" w14:paraId="067BFF86" w14:textId="77777777" w:rsidTr="12B437D6">
        <w:tc>
          <w:tcPr>
            <w:tcW w:w="0" w:type="auto"/>
            <w:vMerge/>
            <w:vAlign w:val="center"/>
          </w:tcPr>
          <w:p w14:paraId="708D6F5C" w14:textId="77777777" w:rsidR="002B3025" w:rsidRPr="00DF5598" w:rsidRDefault="002B3025" w:rsidP="00B929BB">
            <w:pPr>
              <w:rPr>
                <w:rFonts w:ascii="Verdana" w:hAnsi="Verdana" w:cs="Arial"/>
                <w:bCs/>
                <w:sz w:val="16"/>
                <w:szCs w:val="16"/>
              </w:rPr>
            </w:pPr>
          </w:p>
        </w:tc>
        <w:tc>
          <w:tcPr>
            <w:tcW w:w="0" w:type="auto"/>
            <w:vMerge/>
            <w:vAlign w:val="center"/>
          </w:tcPr>
          <w:p w14:paraId="7CF61F2B"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0916B37A" w14:textId="77777777" w:rsidR="002B3025" w:rsidRPr="00DF5598" w:rsidRDefault="002B3025" w:rsidP="00B929BB">
            <w:pPr>
              <w:rPr>
                <w:rFonts w:ascii="Verdana" w:hAnsi="Verdana" w:cs="Arial"/>
                <w:bCs/>
                <w:sz w:val="16"/>
                <w:szCs w:val="16"/>
              </w:rPr>
            </w:pPr>
          </w:p>
        </w:tc>
        <w:tc>
          <w:tcPr>
            <w:tcW w:w="0" w:type="auto"/>
            <w:vMerge/>
            <w:vAlign w:val="center"/>
          </w:tcPr>
          <w:p w14:paraId="46F016BA" w14:textId="77777777" w:rsidR="002B3025" w:rsidRPr="00DF5598" w:rsidRDefault="002B3025" w:rsidP="00B929BB">
            <w:pPr>
              <w:rPr>
                <w:rFonts w:ascii="Verdana" w:hAnsi="Verdana" w:cs="Arial"/>
                <w:bCs/>
                <w:sz w:val="16"/>
                <w:szCs w:val="16"/>
              </w:rPr>
            </w:pPr>
          </w:p>
        </w:tc>
        <w:tc>
          <w:tcPr>
            <w:tcW w:w="0" w:type="auto"/>
            <w:vAlign w:val="center"/>
          </w:tcPr>
          <w:p w14:paraId="03A4BB62"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1.3.3</w:t>
            </w:r>
          </w:p>
        </w:tc>
        <w:tc>
          <w:tcPr>
            <w:tcW w:w="0" w:type="auto"/>
            <w:vAlign w:val="center"/>
          </w:tcPr>
          <w:p w14:paraId="61B561F6"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Hurto de información</w:t>
            </w:r>
          </w:p>
        </w:tc>
      </w:tr>
      <w:tr w:rsidR="00FA0D28" w:rsidRPr="002B3025" w14:paraId="03A90871" w14:textId="77777777" w:rsidTr="12B437D6">
        <w:tc>
          <w:tcPr>
            <w:tcW w:w="0" w:type="auto"/>
            <w:vMerge/>
            <w:vAlign w:val="center"/>
          </w:tcPr>
          <w:p w14:paraId="5E067365" w14:textId="77777777" w:rsidR="002B3025" w:rsidRPr="00DF5598" w:rsidRDefault="002B3025" w:rsidP="00B929BB">
            <w:pPr>
              <w:rPr>
                <w:rFonts w:ascii="Verdana" w:hAnsi="Verdana" w:cs="Arial"/>
                <w:bCs/>
                <w:sz w:val="16"/>
                <w:szCs w:val="16"/>
              </w:rPr>
            </w:pPr>
          </w:p>
        </w:tc>
        <w:tc>
          <w:tcPr>
            <w:tcW w:w="0" w:type="auto"/>
            <w:vMerge/>
            <w:vAlign w:val="center"/>
          </w:tcPr>
          <w:p w14:paraId="3885E0FA"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0314B742" w14:textId="77777777" w:rsidR="002B3025" w:rsidRPr="00DF5598" w:rsidRDefault="002B3025" w:rsidP="00B929BB">
            <w:pPr>
              <w:rPr>
                <w:rFonts w:ascii="Verdana" w:hAnsi="Verdana" w:cs="Arial"/>
                <w:bCs/>
                <w:sz w:val="16"/>
                <w:szCs w:val="16"/>
              </w:rPr>
            </w:pPr>
          </w:p>
        </w:tc>
        <w:tc>
          <w:tcPr>
            <w:tcW w:w="0" w:type="auto"/>
            <w:vMerge/>
            <w:vAlign w:val="center"/>
          </w:tcPr>
          <w:p w14:paraId="4CC709AF" w14:textId="77777777" w:rsidR="002B3025" w:rsidRPr="00DF5598" w:rsidRDefault="002B3025" w:rsidP="00B929BB">
            <w:pPr>
              <w:rPr>
                <w:rFonts w:ascii="Verdana" w:hAnsi="Verdana" w:cs="Arial"/>
                <w:bCs/>
                <w:sz w:val="16"/>
                <w:szCs w:val="16"/>
              </w:rPr>
            </w:pPr>
          </w:p>
        </w:tc>
        <w:tc>
          <w:tcPr>
            <w:tcW w:w="0" w:type="auto"/>
            <w:vAlign w:val="center"/>
          </w:tcPr>
          <w:p w14:paraId="0ACB6CF3"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1.3.4</w:t>
            </w:r>
          </w:p>
        </w:tc>
        <w:tc>
          <w:tcPr>
            <w:tcW w:w="0" w:type="auto"/>
            <w:vAlign w:val="center"/>
          </w:tcPr>
          <w:p w14:paraId="391F5FC0"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Utilización indebida de claves de acceso y/o niveles de autorización</w:t>
            </w:r>
          </w:p>
        </w:tc>
      </w:tr>
      <w:tr w:rsidR="00FA0D28" w:rsidRPr="002B3025" w14:paraId="01EA2ED6" w14:textId="77777777" w:rsidTr="12B437D6">
        <w:tc>
          <w:tcPr>
            <w:tcW w:w="0" w:type="auto"/>
            <w:vMerge/>
            <w:vAlign w:val="center"/>
          </w:tcPr>
          <w:p w14:paraId="06B599AA" w14:textId="77777777" w:rsidR="002B3025" w:rsidRPr="00DF5598" w:rsidRDefault="002B3025" w:rsidP="00B929BB">
            <w:pPr>
              <w:rPr>
                <w:rFonts w:ascii="Verdana" w:hAnsi="Verdana" w:cs="Arial"/>
                <w:bCs/>
                <w:sz w:val="16"/>
                <w:szCs w:val="16"/>
              </w:rPr>
            </w:pPr>
          </w:p>
        </w:tc>
        <w:tc>
          <w:tcPr>
            <w:tcW w:w="0" w:type="auto"/>
            <w:vMerge/>
            <w:vAlign w:val="center"/>
          </w:tcPr>
          <w:p w14:paraId="7FD4D496" w14:textId="77777777" w:rsidR="002B3025" w:rsidRPr="00DF5598" w:rsidRDefault="002B3025" w:rsidP="00B929BB">
            <w:pPr>
              <w:tabs>
                <w:tab w:val="left" w:pos="540"/>
              </w:tabs>
              <w:rPr>
                <w:rFonts w:ascii="Verdana" w:hAnsi="Verdana" w:cs="Arial"/>
                <w:bCs/>
                <w:sz w:val="16"/>
                <w:szCs w:val="16"/>
              </w:rPr>
            </w:pPr>
          </w:p>
        </w:tc>
        <w:tc>
          <w:tcPr>
            <w:tcW w:w="0" w:type="auto"/>
            <w:vAlign w:val="center"/>
          </w:tcPr>
          <w:p w14:paraId="22EC89C9"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1.4</w:t>
            </w:r>
          </w:p>
        </w:tc>
        <w:tc>
          <w:tcPr>
            <w:tcW w:w="0" w:type="auto"/>
            <w:vAlign w:val="center"/>
          </w:tcPr>
          <w:p w14:paraId="676EB145"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Otros</w:t>
            </w:r>
          </w:p>
        </w:tc>
        <w:tc>
          <w:tcPr>
            <w:tcW w:w="0" w:type="auto"/>
            <w:vAlign w:val="center"/>
          </w:tcPr>
          <w:p w14:paraId="1C938853"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1.4.1</w:t>
            </w:r>
          </w:p>
        </w:tc>
        <w:tc>
          <w:tcPr>
            <w:tcW w:w="0" w:type="auto"/>
            <w:vAlign w:val="center"/>
          </w:tcPr>
          <w:p w14:paraId="62E18CFA"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La entidad debe especificar a qué hace referencia</w:t>
            </w:r>
          </w:p>
        </w:tc>
      </w:tr>
      <w:tr w:rsidR="00FA0D28" w:rsidRPr="002B3025" w14:paraId="0D602516" w14:textId="77777777" w:rsidTr="12B437D6">
        <w:tc>
          <w:tcPr>
            <w:tcW w:w="0" w:type="auto"/>
            <w:vMerge w:val="restart"/>
            <w:vAlign w:val="center"/>
          </w:tcPr>
          <w:p w14:paraId="10137D52"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2</w:t>
            </w:r>
          </w:p>
        </w:tc>
        <w:tc>
          <w:tcPr>
            <w:tcW w:w="0" w:type="auto"/>
            <w:vMerge w:val="restart"/>
            <w:vAlign w:val="center"/>
          </w:tcPr>
          <w:p w14:paraId="56BB6165" w14:textId="77777777" w:rsidR="002B3025" w:rsidRPr="00DF5598" w:rsidRDefault="002B3025" w:rsidP="00B929BB">
            <w:pPr>
              <w:tabs>
                <w:tab w:val="left" w:pos="540"/>
              </w:tabs>
              <w:rPr>
                <w:rFonts w:ascii="Verdana" w:hAnsi="Verdana" w:cs="Arial"/>
                <w:bCs/>
                <w:sz w:val="16"/>
                <w:szCs w:val="16"/>
              </w:rPr>
            </w:pPr>
            <w:r w:rsidRPr="00DF5598">
              <w:rPr>
                <w:rFonts w:ascii="Verdana" w:hAnsi="Verdana" w:cs="Arial"/>
                <w:bCs/>
                <w:sz w:val="16"/>
                <w:szCs w:val="16"/>
              </w:rPr>
              <w:t>Fraude Externo</w:t>
            </w:r>
          </w:p>
        </w:tc>
        <w:tc>
          <w:tcPr>
            <w:tcW w:w="0" w:type="auto"/>
            <w:vMerge w:val="restart"/>
            <w:vAlign w:val="center"/>
          </w:tcPr>
          <w:p w14:paraId="6D944FC8"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2.1</w:t>
            </w:r>
          </w:p>
        </w:tc>
        <w:tc>
          <w:tcPr>
            <w:tcW w:w="0" w:type="auto"/>
            <w:vMerge w:val="restart"/>
            <w:vAlign w:val="center"/>
          </w:tcPr>
          <w:p w14:paraId="6DC5A1AA"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Hurto y Fraude Externo</w:t>
            </w:r>
          </w:p>
        </w:tc>
        <w:tc>
          <w:tcPr>
            <w:tcW w:w="0" w:type="auto"/>
            <w:vAlign w:val="center"/>
          </w:tcPr>
          <w:p w14:paraId="51D7FA42"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2.1.1</w:t>
            </w:r>
          </w:p>
        </w:tc>
        <w:tc>
          <w:tcPr>
            <w:tcW w:w="0" w:type="auto"/>
            <w:vAlign w:val="center"/>
          </w:tcPr>
          <w:p w14:paraId="65A8876C"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Hurto / estafa / extorsión /soborno</w:t>
            </w:r>
          </w:p>
        </w:tc>
      </w:tr>
      <w:tr w:rsidR="00FA0D28" w:rsidRPr="002B3025" w14:paraId="3C6A0582" w14:textId="77777777" w:rsidTr="12B437D6">
        <w:tc>
          <w:tcPr>
            <w:tcW w:w="0" w:type="auto"/>
            <w:vMerge/>
            <w:vAlign w:val="center"/>
          </w:tcPr>
          <w:p w14:paraId="3C7B7138" w14:textId="77777777" w:rsidR="002B3025" w:rsidRPr="00DF5598" w:rsidRDefault="002B3025" w:rsidP="00B929BB">
            <w:pPr>
              <w:rPr>
                <w:rFonts w:ascii="Verdana" w:hAnsi="Verdana" w:cs="Arial"/>
                <w:bCs/>
                <w:sz w:val="16"/>
                <w:szCs w:val="16"/>
              </w:rPr>
            </w:pPr>
          </w:p>
        </w:tc>
        <w:tc>
          <w:tcPr>
            <w:tcW w:w="0" w:type="auto"/>
            <w:vMerge/>
            <w:vAlign w:val="center"/>
          </w:tcPr>
          <w:p w14:paraId="66B33BF8"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05109601" w14:textId="77777777" w:rsidR="002B3025" w:rsidRPr="00DF5598" w:rsidRDefault="002B3025" w:rsidP="00B929BB">
            <w:pPr>
              <w:rPr>
                <w:rFonts w:ascii="Verdana" w:hAnsi="Verdana" w:cs="Arial"/>
                <w:bCs/>
                <w:sz w:val="16"/>
                <w:szCs w:val="16"/>
              </w:rPr>
            </w:pPr>
          </w:p>
        </w:tc>
        <w:tc>
          <w:tcPr>
            <w:tcW w:w="0" w:type="auto"/>
            <w:vMerge/>
            <w:vAlign w:val="center"/>
          </w:tcPr>
          <w:p w14:paraId="68574FF8" w14:textId="77777777" w:rsidR="002B3025" w:rsidRPr="00DF5598" w:rsidRDefault="002B3025" w:rsidP="00B929BB">
            <w:pPr>
              <w:rPr>
                <w:rFonts w:ascii="Verdana" w:hAnsi="Verdana" w:cs="Arial"/>
                <w:bCs/>
                <w:sz w:val="16"/>
                <w:szCs w:val="16"/>
              </w:rPr>
            </w:pPr>
          </w:p>
        </w:tc>
        <w:tc>
          <w:tcPr>
            <w:tcW w:w="0" w:type="auto"/>
            <w:vAlign w:val="center"/>
          </w:tcPr>
          <w:p w14:paraId="78A3D25A"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2.1.2</w:t>
            </w:r>
          </w:p>
        </w:tc>
        <w:tc>
          <w:tcPr>
            <w:tcW w:w="0" w:type="auto"/>
            <w:vAlign w:val="center"/>
          </w:tcPr>
          <w:p w14:paraId="3FC9D12A"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Falsificación externa / Suplantación de identidad</w:t>
            </w:r>
          </w:p>
        </w:tc>
      </w:tr>
      <w:tr w:rsidR="00FA0D28" w:rsidRPr="002B3025" w14:paraId="5575A51E" w14:textId="77777777" w:rsidTr="12B437D6">
        <w:tc>
          <w:tcPr>
            <w:tcW w:w="0" w:type="auto"/>
            <w:vMerge/>
            <w:vAlign w:val="center"/>
          </w:tcPr>
          <w:p w14:paraId="4A62307B" w14:textId="77777777" w:rsidR="002B3025" w:rsidRPr="00DF5598" w:rsidRDefault="002B3025" w:rsidP="00B929BB">
            <w:pPr>
              <w:rPr>
                <w:rFonts w:ascii="Verdana" w:hAnsi="Verdana" w:cs="Arial"/>
                <w:bCs/>
                <w:sz w:val="16"/>
                <w:szCs w:val="16"/>
              </w:rPr>
            </w:pPr>
          </w:p>
        </w:tc>
        <w:tc>
          <w:tcPr>
            <w:tcW w:w="0" w:type="auto"/>
            <w:vMerge/>
            <w:vAlign w:val="center"/>
          </w:tcPr>
          <w:p w14:paraId="33EAB9DF"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4EE97C06" w14:textId="77777777" w:rsidR="002B3025" w:rsidRPr="00DF5598" w:rsidRDefault="002B3025" w:rsidP="00B929BB">
            <w:pPr>
              <w:rPr>
                <w:rFonts w:ascii="Verdana" w:hAnsi="Verdana" w:cs="Arial"/>
                <w:bCs/>
                <w:sz w:val="16"/>
                <w:szCs w:val="16"/>
              </w:rPr>
            </w:pPr>
          </w:p>
        </w:tc>
        <w:tc>
          <w:tcPr>
            <w:tcW w:w="0" w:type="auto"/>
            <w:vMerge/>
            <w:vAlign w:val="center"/>
          </w:tcPr>
          <w:p w14:paraId="6E47CE1D" w14:textId="77777777" w:rsidR="002B3025" w:rsidRPr="00DF5598" w:rsidRDefault="002B3025" w:rsidP="00B929BB">
            <w:pPr>
              <w:rPr>
                <w:rFonts w:ascii="Verdana" w:hAnsi="Verdana" w:cs="Arial"/>
                <w:bCs/>
                <w:sz w:val="16"/>
                <w:szCs w:val="16"/>
              </w:rPr>
            </w:pPr>
          </w:p>
        </w:tc>
        <w:tc>
          <w:tcPr>
            <w:tcW w:w="0" w:type="auto"/>
            <w:vAlign w:val="center"/>
          </w:tcPr>
          <w:p w14:paraId="53BB29DE"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2.1.3</w:t>
            </w:r>
          </w:p>
        </w:tc>
        <w:tc>
          <w:tcPr>
            <w:tcW w:w="0" w:type="auto"/>
            <w:vAlign w:val="center"/>
          </w:tcPr>
          <w:p w14:paraId="4E4202E3"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Utilización fraudulenta de cheques</w:t>
            </w:r>
          </w:p>
        </w:tc>
      </w:tr>
      <w:tr w:rsidR="00FA0D28" w:rsidRPr="002B3025" w14:paraId="6F0E3FA7" w14:textId="77777777" w:rsidTr="12B437D6">
        <w:tc>
          <w:tcPr>
            <w:tcW w:w="0" w:type="auto"/>
            <w:vMerge/>
            <w:vAlign w:val="center"/>
          </w:tcPr>
          <w:p w14:paraId="1D4C43E5" w14:textId="77777777" w:rsidR="002B3025" w:rsidRPr="00DF5598" w:rsidRDefault="002B3025" w:rsidP="00B929BB">
            <w:pPr>
              <w:rPr>
                <w:rFonts w:ascii="Verdana" w:hAnsi="Verdana" w:cs="Arial"/>
                <w:bCs/>
                <w:sz w:val="16"/>
                <w:szCs w:val="16"/>
              </w:rPr>
            </w:pPr>
          </w:p>
        </w:tc>
        <w:tc>
          <w:tcPr>
            <w:tcW w:w="0" w:type="auto"/>
            <w:vMerge/>
            <w:vAlign w:val="center"/>
          </w:tcPr>
          <w:p w14:paraId="11D5736C"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44B9B7CC" w14:textId="77777777" w:rsidR="002B3025" w:rsidRPr="00DF5598" w:rsidRDefault="002B3025" w:rsidP="00B929BB">
            <w:pPr>
              <w:rPr>
                <w:rFonts w:ascii="Verdana" w:hAnsi="Verdana" w:cs="Arial"/>
                <w:bCs/>
                <w:sz w:val="16"/>
                <w:szCs w:val="16"/>
              </w:rPr>
            </w:pPr>
          </w:p>
        </w:tc>
        <w:tc>
          <w:tcPr>
            <w:tcW w:w="0" w:type="auto"/>
            <w:vMerge/>
            <w:vAlign w:val="center"/>
          </w:tcPr>
          <w:p w14:paraId="23CCE47A" w14:textId="77777777" w:rsidR="002B3025" w:rsidRPr="00DF5598" w:rsidRDefault="002B3025" w:rsidP="00B929BB">
            <w:pPr>
              <w:rPr>
                <w:rFonts w:ascii="Verdana" w:hAnsi="Verdana" w:cs="Arial"/>
                <w:bCs/>
                <w:sz w:val="16"/>
                <w:szCs w:val="16"/>
              </w:rPr>
            </w:pPr>
          </w:p>
        </w:tc>
        <w:tc>
          <w:tcPr>
            <w:tcW w:w="0" w:type="auto"/>
            <w:vAlign w:val="center"/>
          </w:tcPr>
          <w:p w14:paraId="0665EE39"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2.1.4</w:t>
            </w:r>
          </w:p>
        </w:tc>
        <w:tc>
          <w:tcPr>
            <w:tcW w:w="0" w:type="auto"/>
            <w:vAlign w:val="center"/>
          </w:tcPr>
          <w:p w14:paraId="0F70A247"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Uso y/o divulgación de información privilegiada</w:t>
            </w:r>
          </w:p>
        </w:tc>
      </w:tr>
      <w:tr w:rsidR="00FA0D28" w:rsidRPr="002B3025" w14:paraId="635CBA30" w14:textId="77777777" w:rsidTr="12B437D6">
        <w:tc>
          <w:tcPr>
            <w:tcW w:w="0" w:type="auto"/>
            <w:vMerge/>
            <w:vAlign w:val="center"/>
          </w:tcPr>
          <w:p w14:paraId="10ACDCE9" w14:textId="77777777" w:rsidR="002B3025" w:rsidRPr="00DF5598" w:rsidRDefault="002B3025" w:rsidP="00B929BB">
            <w:pPr>
              <w:rPr>
                <w:rFonts w:ascii="Verdana" w:hAnsi="Verdana" w:cs="Arial"/>
                <w:bCs/>
                <w:sz w:val="16"/>
                <w:szCs w:val="16"/>
              </w:rPr>
            </w:pPr>
          </w:p>
        </w:tc>
        <w:tc>
          <w:tcPr>
            <w:tcW w:w="0" w:type="auto"/>
            <w:vMerge/>
            <w:vAlign w:val="center"/>
          </w:tcPr>
          <w:p w14:paraId="52A39835"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6913009E" w14:textId="77777777" w:rsidR="002B3025" w:rsidRPr="00DF5598" w:rsidRDefault="002B3025" w:rsidP="00B929BB">
            <w:pPr>
              <w:rPr>
                <w:rFonts w:ascii="Verdana" w:hAnsi="Verdana" w:cs="Arial"/>
                <w:bCs/>
                <w:sz w:val="16"/>
                <w:szCs w:val="16"/>
              </w:rPr>
            </w:pPr>
          </w:p>
        </w:tc>
        <w:tc>
          <w:tcPr>
            <w:tcW w:w="0" w:type="auto"/>
            <w:vMerge/>
            <w:vAlign w:val="center"/>
          </w:tcPr>
          <w:p w14:paraId="190BA5A9" w14:textId="77777777" w:rsidR="002B3025" w:rsidRPr="00DF5598" w:rsidRDefault="002B3025" w:rsidP="00B929BB">
            <w:pPr>
              <w:rPr>
                <w:rFonts w:ascii="Verdana" w:hAnsi="Verdana" w:cs="Arial"/>
                <w:bCs/>
                <w:sz w:val="16"/>
                <w:szCs w:val="16"/>
              </w:rPr>
            </w:pPr>
          </w:p>
        </w:tc>
        <w:tc>
          <w:tcPr>
            <w:tcW w:w="0" w:type="auto"/>
            <w:vAlign w:val="center"/>
          </w:tcPr>
          <w:p w14:paraId="6EDF0C53"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2.1.5</w:t>
            </w:r>
          </w:p>
        </w:tc>
        <w:tc>
          <w:tcPr>
            <w:tcW w:w="0" w:type="auto"/>
            <w:vAlign w:val="center"/>
          </w:tcPr>
          <w:p w14:paraId="7DE8B460"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Espionaje industrial</w:t>
            </w:r>
          </w:p>
        </w:tc>
      </w:tr>
      <w:tr w:rsidR="00FA0D28" w:rsidRPr="002B3025" w14:paraId="5659A1D1" w14:textId="77777777" w:rsidTr="12B437D6">
        <w:tc>
          <w:tcPr>
            <w:tcW w:w="0" w:type="auto"/>
            <w:vMerge/>
            <w:vAlign w:val="center"/>
          </w:tcPr>
          <w:p w14:paraId="775FB241" w14:textId="77777777" w:rsidR="002B3025" w:rsidRPr="00DF5598" w:rsidRDefault="002B3025" w:rsidP="00B929BB">
            <w:pPr>
              <w:rPr>
                <w:rFonts w:ascii="Verdana" w:hAnsi="Verdana" w:cs="Arial"/>
                <w:bCs/>
                <w:sz w:val="16"/>
                <w:szCs w:val="16"/>
              </w:rPr>
            </w:pPr>
          </w:p>
        </w:tc>
        <w:tc>
          <w:tcPr>
            <w:tcW w:w="0" w:type="auto"/>
            <w:vMerge/>
            <w:vAlign w:val="center"/>
          </w:tcPr>
          <w:p w14:paraId="2D465A41" w14:textId="77777777" w:rsidR="002B3025" w:rsidRPr="00DF5598" w:rsidRDefault="002B3025" w:rsidP="00B929BB">
            <w:pPr>
              <w:tabs>
                <w:tab w:val="left" w:pos="540"/>
              </w:tabs>
              <w:rPr>
                <w:rFonts w:ascii="Verdana" w:hAnsi="Verdana" w:cs="Arial"/>
                <w:bCs/>
                <w:sz w:val="16"/>
                <w:szCs w:val="16"/>
              </w:rPr>
            </w:pPr>
          </w:p>
        </w:tc>
        <w:tc>
          <w:tcPr>
            <w:tcW w:w="0" w:type="auto"/>
            <w:vMerge w:val="restart"/>
            <w:vAlign w:val="center"/>
          </w:tcPr>
          <w:p w14:paraId="7F014627"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2.2</w:t>
            </w:r>
          </w:p>
        </w:tc>
        <w:tc>
          <w:tcPr>
            <w:tcW w:w="0" w:type="auto"/>
            <w:vMerge w:val="restart"/>
            <w:vAlign w:val="center"/>
          </w:tcPr>
          <w:p w14:paraId="6EED3E80"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Seguridad de los sistemas</w:t>
            </w:r>
          </w:p>
        </w:tc>
        <w:tc>
          <w:tcPr>
            <w:tcW w:w="0" w:type="auto"/>
            <w:vAlign w:val="center"/>
          </w:tcPr>
          <w:p w14:paraId="1E83A9EA"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2.2.1</w:t>
            </w:r>
          </w:p>
        </w:tc>
        <w:tc>
          <w:tcPr>
            <w:tcW w:w="0" w:type="auto"/>
            <w:vAlign w:val="center"/>
          </w:tcPr>
          <w:p w14:paraId="3C1A41C3"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Vulneración de sistemas de seguridad</w:t>
            </w:r>
          </w:p>
        </w:tc>
      </w:tr>
      <w:tr w:rsidR="00FA0D28" w:rsidRPr="002B3025" w14:paraId="132E51E9" w14:textId="77777777" w:rsidTr="12B437D6">
        <w:tc>
          <w:tcPr>
            <w:tcW w:w="0" w:type="auto"/>
            <w:vMerge/>
            <w:vAlign w:val="center"/>
          </w:tcPr>
          <w:p w14:paraId="47A1AFCF" w14:textId="77777777" w:rsidR="002B3025" w:rsidRPr="00DF5598" w:rsidRDefault="002B3025" w:rsidP="00B929BB">
            <w:pPr>
              <w:rPr>
                <w:rFonts w:ascii="Verdana" w:hAnsi="Verdana" w:cs="Arial"/>
                <w:bCs/>
                <w:sz w:val="16"/>
                <w:szCs w:val="16"/>
              </w:rPr>
            </w:pPr>
          </w:p>
        </w:tc>
        <w:tc>
          <w:tcPr>
            <w:tcW w:w="0" w:type="auto"/>
            <w:vMerge/>
            <w:vAlign w:val="center"/>
          </w:tcPr>
          <w:p w14:paraId="20E26CB8"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2971A47D" w14:textId="77777777" w:rsidR="002B3025" w:rsidRPr="00DF5598" w:rsidRDefault="002B3025" w:rsidP="00B929BB">
            <w:pPr>
              <w:rPr>
                <w:rFonts w:ascii="Verdana" w:hAnsi="Verdana" w:cs="Arial"/>
                <w:bCs/>
                <w:sz w:val="16"/>
                <w:szCs w:val="16"/>
              </w:rPr>
            </w:pPr>
          </w:p>
        </w:tc>
        <w:tc>
          <w:tcPr>
            <w:tcW w:w="0" w:type="auto"/>
            <w:vMerge/>
            <w:vAlign w:val="center"/>
          </w:tcPr>
          <w:p w14:paraId="07C01A7E" w14:textId="77777777" w:rsidR="002B3025" w:rsidRPr="00DF5598" w:rsidRDefault="002B3025" w:rsidP="00B929BB">
            <w:pPr>
              <w:rPr>
                <w:rFonts w:ascii="Verdana" w:hAnsi="Verdana" w:cs="Arial"/>
                <w:bCs/>
                <w:sz w:val="16"/>
                <w:szCs w:val="16"/>
              </w:rPr>
            </w:pPr>
          </w:p>
        </w:tc>
        <w:tc>
          <w:tcPr>
            <w:tcW w:w="0" w:type="auto"/>
            <w:vAlign w:val="center"/>
          </w:tcPr>
          <w:p w14:paraId="6FC50765"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2.2.2</w:t>
            </w:r>
          </w:p>
        </w:tc>
        <w:tc>
          <w:tcPr>
            <w:tcW w:w="0" w:type="auto"/>
            <w:vAlign w:val="center"/>
          </w:tcPr>
          <w:p w14:paraId="74B9B3A9"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Daños por ataques informáticos</w:t>
            </w:r>
          </w:p>
        </w:tc>
      </w:tr>
      <w:tr w:rsidR="00FA0D28" w:rsidRPr="002B3025" w14:paraId="0D6EE6C6" w14:textId="77777777" w:rsidTr="12B437D6">
        <w:tc>
          <w:tcPr>
            <w:tcW w:w="0" w:type="auto"/>
            <w:vMerge/>
            <w:vAlign w:val="center"/>
          </w:tcPr>
          <w:p w14:paraId="73090054" w14:textId="77777777" w:rsidR="002B3025" w:rsidRPr="00DF5598" w:rsidRDefault="002B3025" w:rsidP="00B929BB">
            <w:pPr>
              <w:rPr>
                <w:rFonts w:ascii="Verdana" w:hAnsi="Verdana" w:cs="Arial"/>
                <w:bCs/>
                <w:sz w:val="16"/>
                <w:szCs w:val="16"/>
              </w:rPr>
            </w:pPr>
          </w:p>
        </w:tc>
        <w:tc>
          <w:tcPr>
            <w:tcW w:w="0" w:type="auto"/>
            <w:vMerge/>
            <w:vAlign w:val="center"/>
          </w:tcPr>
          <w:p w14:paraId="3B5E888F"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34A99B1C" w14:textId="77777777" w:rsidR="002B3025" w:rsidRPr="00DF5598" w:rsidRDefault="002B3025" w:rsidP="00B929BB">
            <w:pPr>
              <w:rPr>
                <w:rFonts w:ascii="Verdana" w:hAnsi="Verdana" w:cs="Arial"/>
                <w:bCs/>
                <w:sz w:val="16"/>
                <w:szCs w:val="16"/>
              </w:rPr>
            </w:pPr>
          </w:p>
        </w:tc>
        <w:tc>
          <w:tcPr>
            <w:tcW w:w="0" w:type="auto"/>
            <w:vMerge/>
            <w:vAlign w:val="center"/>
          </w:tcPr>
          <w:p w14:paraId="69B04DBF" w14:textId="77777777" w:rsidR="002B3025" w:rsidRPr="00DF5598" w:rsidRDefault="002B3025" w:rsidP="00B929BB">
            <w:pPr>
              <w:rPr>
                <w:rFonts w:ascii="Verdana" w:hAnsi="Verdana" w:cs="Arial"/>
                <w:bCs/>
                <w:sz w:val="16"/>
                <w:szCs w:val="16"/>
              </w:rPr>
            </w:pPr>
          </w:p>
        </w:tc>
        <w:tc>
          <w:tcPr>
            <w:tcW w:w="0" w:type="auto"/>
            <w:vAlign w:val="center"/>
          </w:tcPr>
          <w:p w14:paraId="2BA38AA7"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2.2.3</w:t>
            </w:r>
          </w:p>
        </w:tc>
        <w:tc>
          <w:tcPr>
            <w:tcW w:w="0" w:type="auto"/>
            <w:vAlign w:val="center"/>
          </w:tcPr>
          <w:p w14:paraId="3C0B0295"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Hurto de información</w:t>
            </w:r>
          </w:p>
        </w:tc>
      </w:tr>
      <w:tr w:rsidR="00FA0D28" w:rsidRPr="002B3025" w14:paraId="3744C55A" w14:textId="77777777" w:rsidTr="12B437D6">
        <w:tc>
          <w:tcPr>
            <w:tcW w:w="0" w:type="auto"/>
            <w:vMerge/>
            <w:vAlign w:val="center"/>
          </w:tcPr>
          <w:p w14:paraId="7297E8D5" w14:textId="77777777" w:rsidR="002B3025" w:rsidRPr="00DF5598" w:rsidRDefault="002B3025" w:rsidP="00B929BB">
            <w:pPr>
              <w:rPr>
                <w:rFonts w:ascii="Verdana" w:hAnsi="Verdana" w:cs="Arial"/>
                <w:bCs/>
                <w:sz w:val="16"/>
                <w:szCs w:val="16"/>
              </w:rPr>
            </w:pPr>
          </w:p>
        </w:tc>
        <w:tc>
          <w:tcPr>
            <w:tcW w:w="0" w:type="auto"/>
            <w:vMerge/>
            <w:vAlign w:val="center"/>
          </w:tcPr>
          <w:p w14:paraId="48CC2857"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5B348046" w14:textId="77777777" w:rsidR="002B3025" w:rsidRPr="00DF5598" w:rsidRDefault="002B3025" w:rsidP="00B929BB">
            <w:pPr>
              <w:rPr>
                <w:rFonts w:ascii="Verdana" w:hAnsi="Verdana" w:cs="Arial"/>
                <w:bCs/>
                <w:sz w:val="16"/>
                <w:szCs w:val="16"/>
              </w:rPr>
            </w:pPr>
          </w:p>
        </w:tc>
        <w:tc>
          <w:tcPr>
            <w:tcW w:w="0" w:type="auto"/>
            <w:vMerge/>
            <w:vAlign w:val="center"/>
          </w:tcPr>
          <w:p w14:paraId="0829E223" w14:textId="77777777" w:rsidR="002B3025" w:rsidRPr="00DF5598" w:rsidRDefault="002B3025" w:rsidP="00B929BB">
            <w:pPr>
              <w:rPr>
                <w:rFonts w:ascii="Verdana" w:hAnsi="Verdana" w:cs="Arial"/>
                <w:bCs/>
                <w:sz w:val="16"/>
                <w:szCs w:val="16"/>
              </w:rPr>
            </w:pPr>
          </w:p>
        </w:tc>
        <w:tc>
          <w:tcPr>
            <w:tcW w:w="0" w:type="auto"/>
            <w:vAlign w:val="center"/>
          </w:tcPr>
          <w:p w14:paraId="49D510FC"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2.2.4</w:t>
            </w:r>
          </w:p>
        </w:tc>
        <w:tc>
          <w:tcPr>
            <w:tcW w:w="0" w:type="auto"/>
            <w:vAlign w:val="center"/>
          </w:tcPr>
          <w:p w14:paraId="0DF97D33"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Utilización indebida de claves de acceso y/o niveles de autorización</w:t>
            </w:r>
          </w:p>
        </w:tc>
      </w:tr>
      <w:tr w:rsidR="00FA0D28" w:rsidRPr="002B3025" w14:paraId="4D825B9E" w14:textId="77777777" w:rsidTr="12B437D6">
        <w:tc>
          <w:tcPr>
            <w:tcW w:w="0" w:type="auto"/>
            <w:vMerge/>
            <w:vAlign w:val="center"/>
          </w:tcPr>
          <w:p w14:paraId="6453CD88" w14:textId="77777777" w:rsidR="002B3025" w:rsidRPr="00DF5598" w:rsidRDefault="002B3025" w:rsidP="00B929BB">
            <w:pPr>
              <w:rPr>
                <w:rFonts w:ascii="Verdana" w:hAnsi="Verdana" w:cs="Arial"/>
                <w:bCs/>
                <w:sz w:val="16"/>
                <w:szCs w:val="16"/>
              </w:rPr>
            </w:pPr>
          </w:p>
        </w:tc>
        <w:tc>
          <w:tcPr>
            <w:tcW w:w="0" w:type="auto"/>
            <w:vMerge/>
            <w:vAlign w:val="center"/>
          </w:tcPr>
          <w:p w14:paraId="7E00D150" w14:textId="77777777" w:rsidR="002B3025" w:rsidRPr="00DF5598" w:rsidRDefault="002B3025" w:rsidP="00B929BB">
            <w:pPr>
              <w:tabs>
                <w:tab w:val="left" w:pos="540"/>
              </w:tabs>
              <w:rPr>
                <w:rFonts w:ascii="Verdana" w:hAnsi="Verdana" w:cs="Arial"/>
                <w:bCs/>
                <w:sz w:val="16"/>
                <w:szCs w:val="16"/>
              </w:rPr>
            </w:pPr>
          </w:p>
        </w:tc>
        <w:tc>
          <w:tcPr>
            <w:tcW w:w="0" w:type="auto"/>
            <w:vAlign w:val="center"/>
          </w:tcPr>
          <w:p w14:paraId="006AF462"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2.3</w:t>
            </w:r>
          </w:p>
        </w:tc>
        <w:tc>
          <w:tcPr>
            <w:tcW w:w="0" w:type="auto"/>
            <w:vAlign w:val="center"/>
          </w:tcPr>
          <w:p w14:paraId="222E1311"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Otros</w:t>
            </w:r>
          </w:p>
        </w:tc>
        <w:tc>
          <w:tcPr>
            <w:tcW w:w="0" w:type="auto"/>
            <w:vAlign w:val="center"/>
          </w:tcPr>
          <w:p w14:paraId="5C9E473F"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2.3.1</w:t>
            </w:r>
          </w:p>
        </w:tc>
        <w:tc>
          <w:tcPr>
            <w:tcW w:w="0" w:type="auto"/>
            <w:vAlign w:val="center"/>
          </w:tcPr>
          <w:p w14:paraId="3F201996"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La entidad debe especificar a qué hace referencia</w:t>
            </w:r>
          </w:p>
        </w:tc>
      </w:tr>
      <w:tr w:rsidR="00FA0D28" w:rsidRPr="002B3025" w14:paraId="13724F53" w14:textId="77777777" w:rsidTr="12B437D6">
        <w:tc>
          <w:tcPr>
            <w:tcW w:w="0" w:type="auto"/>
            <w:vMerge w:val="restart"/>
            <w:vAlign w:val="center"/>
          </w:tcPr>
          <w:p w14:paraId="1D01AB38"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3</w:t>
            </w:r>
          </w:p>
        </w:tc>
        <w:tc>
          <w:tcPr>
            <w:tcW w:w="0" w:type="auto"/>
            <w:vMerge w:val="restart"/>
            <w:vAlign w:val="center"/>
          </w:tcPr>
          <w:p w14:paraId="64124F9E" w14:textId="20A2343C" w:rsidR="002B3025" w:rsidRPr="00DF5598" w:rsidRDefault="002B3025" w:rsidP="12B437D6">
            <w:pPr>
              <w:tabs>
                <w:tab w:val="left" w:pos="540"/>
              </w:tabs>
              <w:jc w:val="both"/>
              <w:rPr>
                <w:rFonts w:ascii="Verdana" w:hAnsi="Verdana" w:cs="Arial"/>
                <w:sz w:val="16"/>
                <w:szCs w:val="16"/>
              </w:rPr>
            </w:pPr>
            <w:r w:rsidRPr="00DF5598">
              <w:rPr>
                <w:rFonts w:ascii="Verdana" w:hAnsi="Verdana" w:cs="Arial"/>
                <w:sz w:val="16"/>
                <w:szCs w:val="16"/>
              </w:rPr>
              <w:t>Relaciones laborales y seguridad laboral</w:t>
            </w:r>
          </w:p>
        </w:tc>
        <w:tc>
          <w:tcPr>
            <w:tcW w:w="0" w:type="auto"/>
            <w:vMerge w:val="restart"/>
            <w:vAlign w:val="center"/>
          </w:tcPr>
          <w:p w14:paraId="2D855D28"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3.1</w:t>
            </w:r>
          </w:p>
        </w:tc>
        <w:tc>
          <w:tcPr>
            <w:tcW w:w="0" w:type="auto"/>
            <w:vMerge w:val="restart"/>
            <w:vAlign w:val="center"/>
          </w:tcPr>
          <w:p w14:paraId="70538B90" w14:textId="77777777" w:rsidR="002B3025" w:rsidRPr="00DF5598" w:rsidRDefault="002B3025" w:rsidP="00B929BB">
            <w:pPr>
              <w:pStyle w:val="INCISO"/>
              <w:spacing w:after="0" w:line="240" w:lineRule="auto"/>
              <w:ind w:left="0" w:firstLine="0"/>
              <w:rPr>
                <w:rFonts w:ascii="Verdana" w:hAnsi="Verdana"/>
                <w:bCs/>
                <w:sz w:val="16"/>
                <w:szCs w:val="16"/>
              </w:rPr>
            </w:pPr>
            <w:r w:rsidRPr="00DF5598">
              <w:rPr>
                <w:rFonts w:ascii="Verdana" w:hAnsi="Verdana"/>
                <w:bCs/>
                <w:sz w:val="16"/>
                <w:szCs w:val="16"/>
              </w:rPr>
              <w:t>Relaciones Laborales</w:t>
            </w:r>
          </w:p>
        </w:tc>
        <w:tc>
          <w:tcPr>
            <w:tcW w:w="0" w:type="auto"/>
            <w:vAlign w:val="center"/>
          </w:tcPr>
          <w:p w14:paraId="501E10D1"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3.1.1</w:t>
            </w:r>
          </w:p>
        </w:tc>
        <w:tc>
          <w:tcPr>
            <w:tcW w:w="0" w:type="auto"/>
            <w:vAlign w:val="center"/>
          </w:tcPr>
          <w:p w14:paraId="2C78055B" w14:textId="77777777" w:rsidR="002B3025" w:rsidRPr="00DF5598" w:rsidRDefault="002B3025" w:rsidP="00B929BB">
            <w:pPr>
              <w:pStyle w:val="Texto"/>
              <w:spacing w:after="0" w:line="240" w:lineRule="auto"/>
              <w:ind w:firstLine="0"/>
              <w:rPr>
                <w:rFonts w:ascii="Verdana" w:hAnsi="Verdana"/>
                <w:bCs/>
                <w:sz w:val="16"/>
                <w:szCs w:val="16"/>
              </w:rPr>
            </w:pPr>
            <w:r w:rsidRPr="00DF5598">
              <w:rPr>
                <w:rFonts w:ascii="Verdana" w:hAnsi="Verdana"/>
                <w:bCs/>
                <w:sz w:val="16"/>
                <w:szCs w:val="16"/>
              </w:rPr>
              <w:t>Remuneración, prestaciones sociales, terminación de contratos</w:t>
            </w:r>
          </w:p>
        </w:tc>
      </w:tr>
      <w:tr w:rsidR="00FA0D28" w:rsidRPr="002B3025" w14:paraId="138460D1" w14:textId="77777777" w:rsidTr="12B437D6">
        <w:tc>
          <w:tcPr>
            <w:tcW w:w="0" w:type="auto"/>
            <w:vMerge/>
            <w:vAlign w:val="center"/>
          </w:tcPr>
          <w:p w14:paraId="2359DFC5" w14:textId="77777777" w:rsidR="002B3025" w:rsidRPr="00DF5598" w:rsidRDefault="002B3025" w:rsidP="00B929BB">
            <w:pPr>
              <w:rPr>
                <w:rFonts w:ascii="Verdana" w:hAnsi="Verdana" w:cs="Arial"/>
                <w:bCs/>
                <w:sz w:val="16"/>
                <w:szCs w:val="16"/>
              </w:rPr>
            </w:pPr>
          </w:p>
        </w:tc>
        <w:tc>
          <w:tcPr>
            <w:tcW w:w="0" w:type="auto"/>
            <w:vMerge/>
            <w:vAlign w:val="center"/>
          </w:tcPr>
          <w:p w14:paraId="49EA6062"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3F8064F2" w14:textId="77777777" w:rsidR="002B3025" w:rsidRPr="00DF5598" w:rsidRDefault="002B3025" w:rsidP="00B929BB">
            <w:pPr>
              <w:rPr>
                <w:rFonts w:ascii="Verdana" w:hAnsi="Verdana" w:cs="Arial"/>
                <w:bCs/>
                <w:sz w:val="16"/>
                <w:szCs w:val="16"/>
              </w:rPr>
            </w:pPr>
          </w:p>
        </w:tc>
        <w:tc>
          <w:tcPr>
            <w:tcW w:w="0" w:type="auto"/>
            <w:vMerge/>
            <w:vAlign w:val="center"/>
          </w:tcPr>
          <w:p w14:paraId="3BAD6D7C" w14:textId="77777777" w:rsidR="002B3025" w:rsidRPr="00DF5598" w:rsidRDefault="002B3025" w:rsidP="00B929BB">
            <w:pPr>
              <w:rPr>
                <w:rFonts w:ascii="Verdana" w:hAnsi="Verdana" w:cs="Arial"/>
                <w:bCs/>
                <w:sz w:val="16"/>
                <w:szCs w:val="16"/>
              </w:rPr>
            </w:pPr>
          </w:p>
        </w:tc>
        <w:tc>
          <w:tcPr>
            <w:tcW w:w="0" w:type="auto"/>
            <w:vAlign w:val="center"/>
          </w:tcPr>
          <w:p w14:paraId="074DF229"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3.1.2</w:t>
            </w:r>
          </w:p>
        </w:tc>
        <w:tc>
          <w:tcPr>
            <w:tcW w:w="0" w:type="auto"/>
            <w:vAlign w:val="center"/>
          </w:tcPr>
          <w:p w14:paraId="544FC6A4" w14:textId="77777777" w:rsidR="002B3025" w:rsidRPr="00DF5598" w:rsidRDefault="002B3025" w:rsidP="00B929BB">
            <w:pPr>
              <w:pStyle w:val="Texto"/>
              <w:spacing w:after="0" w:line="240" w:lineRule="auto"/>
              <w:ind w:firstLine="0"/>
              <w:rPr>
                <w:rFonts w:ascii="Verdana" w:hAnsi="Verdana"/>
                <w:bCs/>
                <w:sz w:val="16"/>
                <w:szCs w:val="16"/>
              </w:rPr>
            </w:pPr>
            <w:r w:rsidRPr="00DF5598">
              <w:rPr>
                <w:rFonts w:ascii="Verdana" w:hAnsi="Verdana"/>
                <w:bCs/>
                <w:sz w:val="16"/>
                <w:szCs w:val="16"/>
              </w:rPr>
              <w:t>Recursos humanos</w:t>
            </w:r>
          </w:p>
        </w:tc>
      </w:tr>
      <w:tr w:rsidR="00FA0D28" w:rsidRPr="002B3025" w14:paraId="40EA54A6" w14:textId="77777777" w:rsidTr="12B437D6">
        <w:tc>
          <w:tcPr>
            <w:tcW w:w="0" w:type="auto"/>
            <w:vMerge/>
            <w:vAlign w:val="center"/>
          </w:tcPr>
          <w:p w14:paraId="5882E03B" w14:textId="77777777" w:rsidR="002B3025" w:rsidRPr="00DF5598" w:rsidRDefault="002B3025" w:rsidP="00B929BB">
            <w:pPr>
              <w:rPr>
                <w:rFonts w:ascii="Verdana" w:hAnsi="Verdana" w:cs="Arial"/>
                <w:bCs/>
                <w:sz w:val="16"/>
                <w:szCs w:val="16"/>
              </w:rPr>
            </w:pPr>
          </w:p>
        </w:tc>
        <w:tc>
          <w:tcPr>
            <w:tcW w:w="0" w:type="auto"/>
            <w:vMerge/>
            <w:vAlign w:val="center"/>
          </w:tcPr>
          <w:p w14:paraId="2FE11B04" w14:textId="77777777" w:rsidR="002B3025" w:rsidRPr="00DF5598" w:rsidRDefault="002B3025" w:rsidP="00B929BB">
            <w:pPr>
              <w:tabs>
                <w:tab w:val="left" w:pos="540"/>
              </w:tabs>
              <w:rPr>
                <w:rFonts w:ascii="Verdana" w:hAnsi="Verdana" w:cs="Arial"/>
                <w:bCs/>
                <w:sz w:val="16"/>
                <w:szCs w:val="16"/>
              </w:rPr>
            </w:pPr>
          </w:p>
        </w:tc>
        <w:tc>
          <w:tcPr>
            <w:tcW w:w="0" w:type="auto"/>
            <w:vMerge w:val="restart"/>
            <w:vAlign w:val="center"/>
          </w:tcPr>
          <w:p w14:paraId="69D62B49"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3.2</w:t>
            </w:r>
          </w:p>
        </w:tc>
        <w:tc>
          <w:tcPr>
            <w:tcW w:w="0" w:type="auto"/>
            <w:vMerge w:val="restart"/>
            <w:vAlign w:val="center"/>
          </w:tcPr>
          <w:p w14:paraId="5847909F"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Higiene y Seguridad laboral</w:t>
            </w:r>
          </w:p>
        </w:tc>
        <w:tc>
          <w:tcPr>
            <w:tcW w:w="0" w:type="auto"/>
            <w:vAlign w:val="center"/>
          </w:tcPr>
          <w:p w14:paraId="4C83FC54"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3.2.1</w:t>
            </w:r>
          </w:p>
        </w:tc>
        <w:tc>
          <w:tcPr>
            <w:tcW w:w="0" w:type="auto"/>
            <w:vAlign w:val="center"/>
          </w:tcPr>
          <w:p w14:paraId="7E73F0D0"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Responsabilidad en general a mantener la seguridad y salud de los trabajadores</w:t>
            </w:r>
          </w:p>
        </w:tc>
      </w:tr>
      <w:tr w:rsidR="00FA0D28" w:rsidRPr="002B3025" w14:paraId="77EBB386" w14:textId="77777777" w:rsidTr="12B437D6">
        <w:tc>
          <w:tcPr>
            <w:tcW w:w="0" w:type="auto"/>
            <w:vMerge/>
            <w:vAlign w:val="center"/>
          </w:tcPr>
          <w:p w14:paraId="78BE2C28" w14:textId="77777777" w:rsidR="002B3025" w:rsidRPr="00DF5598" w:rsidRDefault="002B3025" w:rsidP="00B929BB">
            <w:pPr>
              <w:rPr>
                <w:rFonts w:ascii="Verdana" w:hAnsi="Verdana" w:cs="Arial"/>
                <w:bCs/>
                <w:sz w:val="16"/>
                <w:szCs w:val="16"/>
              </w:rPr>
            </w:pPr>
          </w:p>
        </w:tc>
        <w:tc>
          <w:tcPr>
            <w:tcW w:w="0" w:type="auto"/>
            <w:vMerge/>
            <w:vAlign w:val="center"/>
          </w:tcPr>
          <w:p w14:paraId="32B10227"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4BAC6351" w14:textId="77777777" w:rsidR="002B3025" w:rsidRPr="00DF5598" w:rsidRDefault="002B3025" w:rsidP="00B929BB">
            <w:pPr>
              <w:rPr>
                <w:rFonts w:ascii="Verdana" w:hAnsi="Verdana" w:cs="Arial"/>
                <w:bCs/>
                <w:sz w:val="16"/>
                <w:szCs w:val="16"/>
              </w:rPr>
            </w:pPr>
          </w:p>
        </w:tc>
        <w:tc>
          <w:tcPr>
            <w:tcW w:w="0" w:type="auto"/>
            <w:vMerge/>
            <w:vAlign w:val="center"/>
          </w:tcPr>
          <w:p w14:paraId="2F6AE967" w14:textId="77777777" w:rsidR="002B3025" w:rsidRPr="00DF5598" w:rsidRDefault="002B3025" w:rsidP="00B929BB">
            <w:pPr>
              <w:rPr>
                <w:rFonts w:ascii="Verdana" w:hAnsi="Verdana" w:cs="Arial"/>
                <w:bCs/>
                <w:sz w:val="16"/>
                <w:szCs w:val="16"/>
              </w:rPr>
            </w:pPr>
          </w:p>
        </w:tc>
        <w:tc>
          <w:tcPr>
            <w:tcW w:w="0" w:type="auto"/>
            <w:vAlign w:val="center"/>
          </w:tcPr>
          <w:p w14:paraId="3388D921"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3.2.2</w:t>
            </w:r>
          </w:p>
        </w:tc>
        <w:tc>
          <w:tcPr>
            <w:tcW w:w="0" w:type="auto"/>
            <w:vAlign w:val="center"/>
          </w:tcPr>
          <w:p w14:paraId="23FE901F"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Incumplimiento a las normas relacionadas con la higiene y seguridad laboral</w:t>
            </w:r>
          </w:p>
        </w:tc>
      </w:tr>
      <w:tr w:rsidR="00FA0D28" w:rsidRPr="002B3025" w14:paraId="567522A6" w14:textId="77777777" w:rsidTr="12B437D6">
        <w:tc>
          <w:tcPr>
            <w:tcW w:w="0" w:type="auto"/>
            <w:vMerge/>
            <w:vAlign w:val="center"/>
          </w:tcPr>
          <w:p w14:paraId="285319B6" w14:textId="77777777" w:rsidR="002B3025" w:rsidRPr="00DF5598" w:rsidRDefault="002B3025" w:rsidP="00B929BB">
            <w:pPr>
              <w:rPr>
                <w:rFonts w:ascii="Verdana" w:hAnsi="Verdana" w:cs="Arial"/>
                <w:bCs/>
                <w:sz w:val="16"/>
                <w:szCs w:val="16"/>
              </w:rPr>
            </w:pPr>
          </w:p>
        </w:tc>
        <w:tc>
          <w:tcPr>
            <w:tcW w:w="0" w:type="auto"/>
            <w:vMerge/>
            <w:vAlign w:val="center"/>
          </w:tcPr>
          <w:p w14:paraId="170E22AD" w14:textId="77777777" w:rsidR="002B3025" w:rsidRPr="00DF5598" w:rsidRDefault="002B3025" w:rsidP="00B929BB">
            <w:pPr>
              <w:tabs>
                <w:tab w:val="left" w:pos="540"/>
              </w:tabs>
              <w:rPr>
                <w:rFonts w:ascii="Verdana" w:hAnsi="Verdana" w:cs="Arial"/>
                <w:bCs/>
                <w:sz w:val="16"/>
                <w:szCs w:val="16"/>
              </w:rPr>
            </w:pPr>
          </w:p>
        </w:tc>
        <w:tc>
          <w:tcPr>
            <w:tcW w:w="0" w:type="auto"/>
            <w:vMerge w:val="restart"/>
            <w:vAlign w:val="center"/>
          </w:tcPr>
          <w:p w14:paraId="14550C3C"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3.3</w:t>
            </w:r>
          </w:p>
        </w:tc>
        <w:tc>
          <w:tcPr>
            <w:tcW w:w="0" w:type="auto"/>
            <w:vMerge w:val="restart"/>
            <w:vAlign w:val="center"/>
          </w:tcPr>
          <w:p w14:paraId="1DC314EB" w14:textId="77777777" w:rsidR="002B3025" w:rsidRPr="00DF5598" w:rsidRDefault="002B3025" w:rsidP="00B929BB">
            <w:pPr>
              <w:pStyle w:val="INCISO"/>
              <w:spacing w:after="0" w:line="240" w:lineRule="auto"/>
              <w:ind w:left="0" w:firstLine="0"/>
              <w:rPr>
                <w:rFonts w:ascii="Verdana" w:hAnsi="Verdana"/>
                <w:bCs/>
                <w:sz w:val="16"/>
                <w:szCs w:val="16"/>
              </w:rPr>
            </w:pPr>
            <w:r w:rsidRPr="00DF5598">
              <w:rPr>
                <w:rFonts w:ascii="Verdana" w:hAnsi="Verdana"/>
                <w:bCs/>
                <w:sz w:val="16"/>
                <w:szCs w:val="16"/>
              </w:rPr>
              <w:t>Desigualdad y Discriminación</w:t>
            </w:r>
          </w:p>
        </w:tc>
        <w:tc>
          <w:tcPr>
            <w:tcW w:w="0" w:type="auto"/>
            <w:vAlign w:val="center"/>
          </w:tcPr>
          <w:p w14:paraId="60063AE9"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3.3.1</w:t>
            </w:r>
          </w:p>
        </w:tc>
        <w:tc>
          <w:tcPr>
            <w:tcW w:w="0" w:type="auto"/>
            <w:vAlign w:val="center"/>
          </w:tcPr>
          <w:p w14:paraId="6A0ED7AE"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Discriminación</w:t>
            </w:r>
          </w:p>
        </w:tc>
      </w:tr>
      <w:tr w:rsidR="00FA0D28" w:rsidRPr="002B3025" w14:paraId="4142A52D" w14:textId="77777777" w:rsidTr="12B437D6">
        <w:tc>
          <w:tcPr>
            <w:tcW w:w="0" w:type="auto"/>
            <w:vMerge/>
            <w:vAlign w:val="center"/>
          </w:tcPr>
          <w:p w14:paraId="66BF1E7B" w14:textId="77777777" w:rsidR="002B3025" w:rsidRPr="00DF5598" w:rsidRDefault="002B3025" w:rsidP="00B929BB">
            <w:pPr>
              <w:rPr>
                <w:rFonts w:ascii="Verdana" w:hAnsi="Verdana" w:cs="Arial"/>
                <w:bCs/>
                <w:sz w:val="16"/>
                <w:szCs w:val="16"/>
              </w:rPr>
            </w:pPr>
          </w:p>
        </w:tc>
        <w:tc>
          <w:tcPr>
            <w:tcW w:w="0" w:type="auto"/>
            <w:vMerge/>
            <w:vAlign w:val="center"/>
          </w:tcPr>
          <w:p w14:paraId="4D014F44"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464AC3D6" w14:textId="77777777" w:rsidR="002B3025" w:rsidRPr="00DF5598" w:rsidRDefault="002B3025" w:rsidP="00B929BB">
            <w:pPr>
              <w:rPr>
                <w:rFonts w:ascii="Verdana" w:hAnsi="Verdana" w:cs="Arial"/>
                <w:bCs/>
                <w:sz w:val="16"/>
                <w:szCs w:val="16"/>
              </w:rPr>
            </w:pPr>
          </w:p>
        </w:tc>
        <w:tc>
          <w:tcPr>
            <w:tcW w:w="0" w:type="auto"/>
            <w:vMerge/>
            <w:vAlign w:val="center"/>
          </w:tcPr>
          <w:p w14:paraId="3D47C44E" w14:textId="77777777" w:rsidR="002B3025" w:rsidRPr="00DF5598" w:rsidRDefault="002B3025" w:rsidP="00B929BB">
            <w:pPr>
              <w:rPr>
                <w:rFonts w:ascii="Verdana" w:hAnsi="Verdana" w:cs="Arial"/>
                <w:bCs/>
                <w:sz w:val="16"/>
                <w:szCs w:val="16"/>
              </w:rPr>
            </w:pPr>
          </w:p>
        </w:tc>
        <w:tc>
          <w:tcPr>
            <w:tcW w:w="0" w:type="auto"/>
            <w:vAlign w:val="center"/>
          </w:tcPr>
          <w:p w14:paraId="0542BCD5"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3.3.2</w:t>
            </w:r>
          </w:p>
        </w:tc>
        <w:tc>
          <w:tcPr>
            <w:tcW w:w="0" w:type="auto"/>
            <w:vAlign w:val="center"/>
          </w:tcPr>
          <w:p w14:paraId="6C52D858"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Invasión a la intimidad y/o acoso</w:t>
            </w:r>
          </w:p>
        </w:tc>
      </w:tr>
      <w:tr w:rsidR="00FA0D28" w:rsidRPr="002B3025" w14:paraId="28F22831" w14:textId="77777777" w:rsidTr="12B437D6">
        <w:tc>
          <w:tcPr>
            <w:tcW w:w="0" w:type="auto"/>
            <w:vMerge/>
            <w:vAlign w:val="center"/>
          </w:tcPr>
          <w:p w14:paraId="34C776E8" w14:textId="77777777" w:rsidR="002B3025" w:rsidRPr="00DF5598" w:rsidRDefault="002B3025" w:rsidP="00B929BB">
            <w:pPr>
              <w:rPr>
                <w:rFonts w:ascii="Verdana" w:hAnsi="Verdana" w:cs="Arial"/>
                <w:bCs/>
                <w:sz w:val="16"/>
                <w:szCs w:val="16"/>
              </w:rPr>
            </w:pPr>
          </w:p>
        </w:tc>
        <w:tc>
          <w:tcPr>
            <w:tcW w:w="0" w:type="auto"/>
            <w:vMerge/>
            <w:vAlign w:val="center"/>
          </w:tcPr>
          <w:p w14:paraId="632967AA" w14:textId="77777777" w:rsidR="002B3025" w:rsidRPr="00DF5598" w:rsidRDefault="002B3025" w:rsidP="00B929BB">
            <w:pPr>
              <w:tabs>
                <w:tab w:val="left" w:pos="540"/>
              </w:tabs>
              <w:rPr>
                <w:rFonts w:ascii="Verdana" w:hAnsi="Verdana" w:cs="Arial"/>
                <w:bCs/>
                <w:sz w:val="16"/>
                <w:szCs w:val="16"/>
              </w:rPr>
            </w:pPr>
          </w:p>
        </w:tc>
        <w:tc>
          <w:tcPr>
            <w:tcW w:w="0" w:type="auto"/>
            <w:vAlign w:val="center"/>
          </w:tcPr>
          <w:p w14:paraId="467AC63D"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3.4</w:t>
            </w:r>
          </w:p>
        </w:tc>
        <w:tc>
          <w:tcPr>
            <w:tcW w:w="0" w:type="auto"/>
            <w:vAlign w:val="center"/>
          </w:tcPr>
          <w:p w14:paraId="6F13F80F"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Otros</w:t>
            </w:r>
          </w:p>
        </w:tc>
        <w:tc>
          <w:tcPr>
            <w:tcW w:w="0" w:type="auto"/>
            <w:vAlign w:val="center"/>
          </w:tcPr>
          <w:p w14:paraId="6C2058D9"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3.4.1</w:t>
            </w:r>
          </w:p>
        </w:tc>
        <w:tc>
          <w:tcPr>
            <w:tcW w:w="0" w:type="auto"/>
            <w:vAlign w:val="center"/>
          </w:tcPr>
          <w:p w14:paraId="2FFD7159"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La entidad debe especificar a qué hace referencia</w:t>
            </w:r>
          </w:p>
        </w:tc>
      </w:tr>
      <w:tr w:rsidR="00FA0D28" w:rsidRPr="002B3025" w14:paraId="4D17489C" w14:textId="77777777" w:rsidTr="12B437D6">
        <w:tc>
          <w:tcPr>
            <w:tcW w:w="0" w:type="auto"/>
            <w:vMerge w:val="restart"/>
            <w:vAlign w:val="center"/>
          </w:tcPr>
          <w:p w14:paraId="6CFCB6DD"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4</w:t>
            </w:r>
          </w:p>
        </w:tc>
        <w:tc>
          <w:tcPr>
            <w:tcW w:w="0" w:type="auto"/>
            <w:vMerge w:val="restart"/>
            <w:vAlign w:val="center"/>
          </w:tcPr>
          <w:p w14:paraId="36003F09" w14:textId="77777777" w:rsidR="002B3025" w:rsidRPr="00DF5598" w:rsidRDefault="002B3025" w:rsidP="00B929BB">
            <w:pPr>
              <w:tabs>
                <w:tab w:val="left" w:pos="540"/>
              </w:tabs>
              <w:jc w:val="both"/>
              <w:rPr>
                <w:rFonts w:ascii="Verdana" w:hAnsi="Verdana" w:cs="Arial"/>
                <w:bCs/>
                <w:sz w:val="16"/>
                <w:szCs w:val="16"/>
              </w:rPr>
            </w:pPr>
            <w:r w:rsidRPr="00DF5598">
              <w:rPr>
                <w:rFonts w:ascii="Verdana" w:hAnsi="Verdana" w:cs="Arial"/>
                <w:bCs/>
                <w:sz w:val="16"/>
                <w:szCs w:val="16"/>
              </w:rPr>
              <w:t>Clientes, productos y prácticas empresariales</w:t>
            </w:r>
          </w:p>
          <w:p w14:paraId="427F14C3" w14:textId="77777777" w:rsidR="002B3025" w:rsidRPr="00DF5598" w:rsidRDefault="002B3025" w:rsidP="00B929BB">
            <w:pPr>
              <w:tabs>
                <w:tab w:val="left" w:pos="540"/>
              </w:tabs>
              <w:rPr>
                <w:rFonts w:ascii="Verdana" w:hAnsi="Verdana" w:cs="Arial"/>
                <w:bCs/>
                <w:sz w:val="16"/>
                <w:szCs w:val="16"/>
              </w:rPr>
            </w:pPr>
          </w:p>
        </w:tc>
        <w:tc>
          <w:tcPr>
            <w:tcW w:w="0" w:type="auto"/>
            <w:vMerge w:val="restart"/>
            <w:vAlign w:val="center"/>
          </w:tcPr>
          <w:p w14:paraId="204C442D"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4.1</w:t>
            </w:r>
          </w:p>
        </w:tc>
        <w:tc>
          <w:tcPr>
            <w:tcW w:w="0" w:type="auto"/>
            <w:vMerge w:val="restart"/>
            <w:vAlign w:val="center"/>
          </w:tcPr>
          <w:p w14:paraId="28E022D4"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Indebida Divulgación de Información y Abuso de Confianza</w:t>
            </w:r>
          </w:p>
        </w:tc>
        <w:tc>
          <w:tcPr>
            <w:tcW w:w="0" w:type="auto"/>
            <w:vAlign w:val="center"/>
          </w:tcPr>
          <w:p w14:paraId="39A4E67F"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4.1.1</w:t>
            </w:r>
          </w:p>
        </w:tc>
        <w:tc>
          <w:tcPr>
            <w:tcW w:w="0" w:type="auto"/>
            <w:vAlign w:val="center"/>
          </w:tcPr>
          <w:p w14:paraId="062B7AEB"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Abuso de confianza / incumplimiento de políticas y reglamentación interna de la entidad</w:t>
            </w:r>
          </w:p>
        </w:tc>
      </w:tr>
      <w:tr w:rsidR="00FA0D28" w:rsidRPr="002B3025" w14:paraId="0EBC2F23" w14:textId="77777777" w:rsidTr="12B437D6">
        <w:tc>
          <w:tcPr>
            <w:tcW w:w="0" w:type="auto"/>
            <w:vMerge/>
            <w:vAlign w:val="center"/>
          </w:tcPr>
          <w:p w14:paraId="11496E34" w14:textId="77777777" w:rsidR="002B3025" w:rsidRPr="00DF5598" w:rsidRDefault="002B3025" w:rsidP="00B929BB">
            <w:pPr>
              <w:rPr>
                <w:rFonts w:ascii="Verdana" w:hAnsi="Verdana" w:cs="Arial"/>
                <w:bCs/>
                <w:sz w:val="16"/>
                <w:szCs w:val="16"/>
              </w:rPr>
            </w:pPr>
          </w:p>
        </w:tc>
        <w:tc>
          <w:tcPr>
            <w:tcW w:w="0" w:type="auto"/>
            <w:vMerge/>
            <w:vAlign w:val="center"/>
          </w:tcPr>
          <w:p w14:paraId="49157916"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57D323AC" w14:textId="77777777" w:rsidR="002B3025" w:rsidRPr="00DF5598" w:rsidRDefault="002B3025" w:rsidP="00B929BB">
            <w:pPr>
              <w:rPr>
                <w:rFonts w:ascii="Verdana" w:hAnsi="Verdana" w:cs="Arial"/>
                <w:bCs/>
                <w:sz w:val="16"/>
                <w:szCs w:val="16"/>
              </w:rPr>
            </w:pPr>
          </w:p>
        </w:tc>
        <w:tc>
          <w:tcPr>
            <w:tcW w:w="0" w:type="auto"/>
            <w:vMerge/>
            <w:vAlign w:val="center"/>
          </w:tcPr>
          <w:p w14:paraId="5A0C5FCA" w14:textId="77777777" w:rsidR="002B3025" w:rsidRPr="00DF5598" w:rsidRDefault="002B3025" w:rsidP="00B929BB">
            <w:pPr>
              <w:jc w:val="both"/>
              <w:rPr>
                <w:rFonts w:ascii="Verdana" w:hAnsi="Verdana" w:cs="Arial"/>
                <w:bCs/>
                <w:sz w:val="16"/>
                <w:szCs w:val="16"/>
              </w:rPr>
            </w:pPr>
          </w:p>
        </w:tc>
        <w:tc>
          <w:tcPr>
            <w:tcW w:w="0" w:type="auto"/>
            <w:vAlign w:val="center"/>
          </w:tcPr>
          <w:p w14:paraId="27C3AE36"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4.1.2</w:t>
            </w:r>
          </w:p>
        </w:tc>
        <w:tc>
          <w:tcPr>
            <w:tcW w:w="0" w:type="auto"/>
            <w:vAlign w:val="center"/>
          </w:tcPr>
          <w:p w14:paraId="18FF21B0"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Indebida divulgación de información</w:t>
            </w:r>
          </w:p>
        </w:tc>
      </w:tr>
      <w:tr w:rsidR="00FA0D28" w:rsidRPr="002B3025" w14:paraId="7E892E92" w14:textId="77777777" w:rsidTr="12B437D6">
        <w:tc>
          <w:tcPr>
            <w:tcW w:w="0" w:type="auto"/>
            <w:vMerge/>
            <w:vAlign w:val="center"/>
          </w:tcPr>
          <w:p w14:paraId="64690F27" w14:textId="77777777" w:rsidR="002B3025" w:rsidRPr="00DF5598" w:rsidRDefault="002B3025" w:rsidP="00B929BB">
            <w:pPr>
              <w:rPr>
                <w:rFonts w:ascii="Verdana" w:hAnsi="Verdana" w:cs="Arial"/>
                <w:bCs/>
                <w:sz w:val="16"/>
                <w:szCs w:val="16"/>
              </w:rPr>
            </w:pPr>
          </w:p>
        </w:tc>
        <w:tc>
          <w:tcPr>
            <w:tcW w:w="0" w:type="auto"/>
            <w:vMerge/>
            <w:vAlign w:val="center"/>
          </w:tcPr>
          <w:p w14:paraId="2D774946" w14:textId="77777777" w:rsidR="002B3025" w:rsidRPr="00DF5598" w:rsidRDefault="002B3025" w:rsidP="00B929BB">
            <w:pPr>
              <w:tabs>
                <w:tab w:val="left" w:pos="540"/>
              </w:tabs>
              <w:rPr>
                <w:rFonts w:ascii="Verdana" w:hAnsi="Verdana" w:cs="Arial"/>
                <w:bCs/>
                <w:sz w:val="16"/>
                <w:szCs w:val="16"/>
              </w:rPr>
            </w:pPr>
          </w:p>
        </w:tc>
        <w:tc>
          <w:tcPr>
            <w:tcW w:w="0" w:type="auto"/>
            <w:vMerge w:val="restart"/>
            <w:vAlign w:val="center"/>
          </w:tcPr>
          <w:p w14:paraId="5442D0CE"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4.2</w:t>
            </w:r>
          </w:p>
        </w:tc>
        <w:tc>
          <w:tcPr>
            <w:tcW w:w="0" w:type="auto"/>
            <w:vMerge w:val="restart"/>
            <w:vAlign w:val="center"/>
          </w:tcPr>
          <w:p w14:paraId="22514887"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Prácticas Empresariales o de Mercado Improcedentes</w:t>
            </w:r>
          </w:p>
        </w:tc>
        <w:tc>
          <w:tcPr>
            <w:tcW w:w="0" w:type="auto"/>
            <w:vAlign w:val="center"/>
          </w:tcPr>
          <w:p w14:paraId="235826C8"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4.2.1</w:t>
            </w:r>
          </w:p>
        </w:tc>
        <w:tc>
          <w:tcPr>
            <w:tcW w:w="0" w:type="auto"/>
            <w:vAlign w:val="center"/>
          </w:tcPr>
          <w:p w14:paraId="07D481EE"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Prácticas restrictivas de la competencia</w:t>
            </w:r>
          </w:p>
        </w:tc>
      </w:tr>
      <w:tr w:rsidR="00FA0D28" w:rsidRPr="002B3025" w14:paraId="6A4EB90E" w14:textId="77777777" w:rsidTr="12B437D6">
        <w:tc>
          <w:tcPr>
            <w:tcW w:w="0" w:type="auto"/>
            <w:vMerge/>
            <w:vAlign w:val="center"/>
          </w:tcPr>
          <w:p w14:paraId="6FCC9032" w14:textId="77777777" w:rsidR="002B3025" w:rsidRPr="00DF5598" w:rsidRDefault="002B3025" w:rsidP="00B929BB">
            <w:pPr>
              <w:rPr>
                <w:rFonts w:ascii="Verdana" w:hAnsi="Verdana" w:cs="Arial"/>
                <w:bCs/>
                <w:sz w:val="16"/>
                <w:szCs w:val="16"/>
              </w:rPr>
            </w:pPr>
          </w:p>
        </w:tc>
        <w:tc>
          <w:tcPr>
            <w:tcW w:w="0" w:type="auto"/>
            <w:vMerge/>
            <w:vAlign w:val="center"/>
          </w:tcPr>
          <w:p w14:paraId="15C4C36E"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388A10C7" w14:textId="77777777" w:rsidR="002B3025" w:rsidRPr="00DF5598" w:rsidRDefault="002B3025" w:rsidP="00B929BB">
            <w:pPr>
              <w:rPr>
                <w:rFonts w:ascii="Verdana" w:hAnsi="Verdana" w:cs="Arial"/>
                <w:bCs/>
                <w:sz w:val="16"/>
                <w:szCs w:val="16"/>
              </w:rPr>
            </w:pPr>
          </w:p>
        </w:tc>
        <w:tc>
          <w:tcPr>
            <w:tcW w:w="0" w:type="auto"/>
            <w:vMerge/>
            <w:vAlign w:val="center"/>
          </w:tcPr>
          <w:p w14:paraId="23B27684" w14:textId="77777777" w:rsidR="002B3025" w:rsidRPr="00DF5598" w:rsidRDefault="002B3025" w:rsidP="00B929BB">
            <w:pPr>
              <w:jc w:val="both"/>
              <w:rPr>
                <w:rFonts w:ascii="Verdana" w:hAnsi="Verdana" w:cs="Arial"/>
                <w:bCs/>
                <w:sz w:val="16"/>
                <w:szCs w:val="16"/>
              </w:rPr>
            </w:pPr>
          </w:p>
        </w:tc>
        <w:tc>
          <w:tcPr>
            <w:tcW w:w="0" w:type="auto"/>
            <w:vAlign w:val="center"/>
          </w:tcPr>
          <w:p w14:paraId="10795FBA"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4.2.2</w:t>
            </w:r>
          </w:p>
        </w:tc>
        <w:tc>
          <w:tcPr>
            <w:tcW w:w="0" w:type="auto"/>
            <w:vAlign w:val="center"/>
          </w:tcPr>
          <w:p w14:paraId="1B5A17C6"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Prácticas comerciales / de mercado improcedentes</w:t>
            </w:r>
          </w:p>
        </w:tc>
      </w:tr>
      <w:tr w:rsidR="00FA0D28" w:rsidRPr="002B3025" w14:paraId="72D16752" w14:textId="77777777" w:rsidTr="12B437D6">
        <w:tc>
          <w:tcPr>
            <w:tcW w:w="0" w:type="auto"/>
            <w:vMerge/>
            <w:vAlign w:val="center"/>
          </w:tcPr>
          <w:p w14:paraId="691E3BC7" w14:textId="77777777" w:rsidR="002B3025" w:rsidRPr="00DF5598" w:rsidRDefault="002B3025" w:rsidP="00B929BB">
            <w:pPr>
              <w:rPr>
                <w:rFonts w:ascii="Verdana" w:hAnsi="Verdana" w:cs="Arial"/>
                <w:bCs/>
                <w:sz w:val="16"/>
                <w:szCs w:val="16"/>
              </w:rPr>
            </w:pPr>
          </w:p>
        </w:tc>
        <w:tc>
          <w:tcPr>
            <w:tcW w:w="0" w:type="auto"/>
            <w:vMerge/>
            <w:vAlign w:val="center"/>
          </w:tcPr>
          <w:p w14:paraId="47E83E7F"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33B27BFC" w14:textId="77777777" w:rsidR="002B3025" w:rsidRPr="00DF5598" w:rsidRDefault="002B3025" w:rsidP="00B929BB">
            <w:pPr>
              <w:rPr>
                <w:rFonts w:ascii="Verdana" w:hAnsi="Verdana" w:cs="Arial"/>
                <w:bCs/>
                <w:sz w:val="16"/>
                <w:szCs w:val="16"/>
              </w:rPr>
            </w:pPr>
          </w:p>
        </w:tc>
        <w:tc>
          <w:tcPr>
            <w:tcW w:w="0" w:type="auto"/>
            <w:vMerge/>
            <w:vAlign w:val="center"/>
          </w:tcPr>
          <w:p w14:paraId="614B30F6" w14:textId="77777777" w:rsidR="002B3025" w:rsidRPr="00DF5598" w:rsidRDefault="002B3025" w:rsidP="00B929BB">
            <w:pPr>
              <w:jc w:val="both"/>
              <w:rPr>
                <w:rFonts w:ascii="Verdana" w:hAnsi="Verdana" w:cs="Arial"/>
                <w:bCs/>
                <w:sz w:val="16"/>
                <w:szCs w:val="16"/>
              </w:rPr>
            </w:pPr>
          </w:p>
        </w:tc>
        <w:tc>
          <w:tcPr>
            <w:tcW w:w="0" w:type="auto"/>
            <w:vAlign w:val="center"/>
          </w:tcPr>
          <w:p w14:paraId="1CA232F9"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4.2.3</w:t>
            </w:r>
          </w:p>
        </w:tc>
        <w:tc>
          <w:tcPr>
            <w:tcW w:w="0" w:type="auto"/>
            <w:vAlign w:val="center"/>
          </w:tcPr>
          <w:p w14:paraId="158A39A0"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Manipulación del mercado</w:t>
            </w:r>
          </w:p>
        </w:tc>
      </w:tr>
      <w:tr w:rsidR="00FA0D28" w:rsidRPr="002B3025" w14:paraId="091304FF" w14:textId="77777777" w:rsidTr="12B437D6">
        <w:tc>
          <w:tcPr>
            <w:tcW w:w="0" w:type="auto"/>
            <w:vMerge/>
            <w:vAlign w:val="center"/>
          </w:tcPr>
          <w:p w14:paraId="66759778" w14:textId="77777777" w:rsidR="002B3025" w:rsidRPr="00DF5598" w:rsidRDefault="002B3025" w:rsidP="00B929BB">
            <w:pPr>
              <w:rPr>
                <w:rFonts w:ascii="Verdana" w:hAnsi="Verdana" w:cs="Arial"/>
                <w:bCs/>
                <w:sz w:val="16"/>
                <w:szCs w:val="16"/>
              </w:rPr>
            </w:pPr>
          </w:p>
        </w:tc>
        <w:tc>
          <w:tcPr>
            <w:tcW w:w="0" w:type="auto"/>
            <w:vMerge/>
            <w:vAlign w:val="center"/>
          </w:tcPr>
          <w:p w14:paraId="4840B8F9"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76051540" w14:textId="77777777" w:rsidR="002B3025" w:rsidRPr="00DF5598" w:rsidRDefault="002B3025" w:rsidP="00B929BB">
            <w:pPr>
              <w:rPr>
                <w:rFonts w:ascii="Verdana" w:hAnsi="Verdana" w:cs="Arial"/>
                <w:bCs/>
                <w:sz w:val="16"/>
                <w:szCs w:val="16"/>
              </w:rPr>
            </w:pPr>
          </w:p>
        </w:tc>
        <w:tc>
          <w:tcPr>
            <w:tcW w:w="0" w:type="auto"/>
            <w:vMerge/>
            <w:vAlign w:val="center"/>
          </w:tcPr>
          <w:p w14:paraId="3C0D2E90" w14:textId="77777777" w:rsidR="002B3025" w:rsidRPr="00DF5598" w:rsidRDefault="002B3025" w:rsidP="00B929BB">
            <w:pPr>
              <w:jc w:val="both"/>
              <w:rPr>
                <w:rFonts w:ascii="Verdana" w:hAnsi="Verdana" w:cs="Arial"/>
                <w:bCs/>
                <w:sz w:val="16"/>
                <w:szCs w:val="16"/>
              </w:rPr>
            </w:pPr>
          </w:p>
        </w:tc>
        <w:tc>
          <w:tcPr>
            <w:tcW w:w="0" w:type="auto"/>
            <w:vAlign w:val="center"/>
          </w:tcPr>
          <w:p w14:paraId="60C01CF5"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4.2.4</w:t>
            </w:r>
          </w:p>
        </w:tc>
        <w:tc>
          <w:tcPr>
            <w:tcW w:w="0" w:type="auto"/>
            <w:vAlign w:val="center"/>
          </w:tcPr>
          <w:p w14:paraId="4523CA41" w14:textId="77777777" w:rsidR="002B3025" w:rsidRPr="00DF5598" w:rsidRDefault="002B3025" w:rsidP="00B929BB">
            <w:pPr>
              <w:pStyle w:val="Texto"/>
              <w:spacing w:after="0" w:line="240" w:lineRule="auto"/>
              <w:ind w:firstLine="0"/>
              <w:rPr>
                <w:rFonts w:ascii="Verdana" w:hAnsi="Verdana"/>
                <w:bCs/>
                <w:sz w:val="16"/>
                <w:szCs w:val="16"/>
              </w:rPr>
            </w:pPr>
            <w:r w:rsidRPr="00DF5598">
              <w:rPr>
                <w:rFonts w:ascii="Verdana" w:hAnsi="Verdana"/>
                <w:bCs/>
                <w:sz w:val="16"/>
                <w:szCs w:val="16"/>
              </w:rPr>
              <w:t>Abuso de información privilegiada (a favor de la empresa)</w:t>
            </w:r>
          </w:p>
        </w:tc>
      </w:tr>
      <w:tr w:rsidR="00FA0D28" w:rsidRPr="002B3025" w14:paraId="68E77614" w14:textId="77777777" w:rsidTr="12B437D6">
        <w:tc>
          <w:tcPr>
            <w:tcW w:w="0" w:type="auto"/>
            <w:vMerge/>
            <w:vAlign w:val="center"/>
          </w:tcPr>
          <w:p w14:paraId="39B354E6" w14:textId="77777777" w:rsidR="002B3025" w:rsidRPr="00DF5598" w:rsidRDefault="002B3025" w:rsidP="00B929BB">
            <w:pPr>
              <w:rPr>
                <w:rFonts w:ascii="Verdana" w:hAnsi="Verdana" w:cs="Arial"/>
                <w:bCs/>
                <w:sz w:val="16"/>
                <w:szCs w:val="16"/>
              </w:rPr>
            </w:pPr>
          </w:p>
        </w:tc>
        <w:tc>
          <w:tcPr>
            <w:tcW w:w="0" w:type="auto"/>
            <w:vMerge/>
            <w:vAlign w:val="center"/>
          </w:tcPr>
          <w:p w14:paraId="2FCCC01E"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5CF2FA17" w14:textId="77777777" w:rsidR="002B3025" w:rsidRPr="00DF5598" w:rsidRDefault="002B3025" w:rsidP="00B929BB">
            <w:pPr>
              <w:rPr>
                <w:rFonts w:ascii="Verdana" w:hAnsi="Verdana" w:cs="Arial"/>
                <w:bCs/>
                <w:sz w:val="16"/>
                <w:szCs w:val="16"/>
              </w:rPr>
            </w:pPr>
          </w:p>
        </w:tc>
        <w:tc>
          <w:tcPr>
            <w:tcW w:w="0" w:type="auto"/>
            <w:vMerge/>
            <w:vAlign w:val="center"/>
          </w:tcPr>
          <w:p w14:paraId="70713139" w14:textId="77777777" w:rsidR="002B3025" w:rsidRPr="00DF5598" w:rsidRDefault="002B3025" w:rsidP="00B929BB">
            <w:pPr>
              <w:jc w:val="both"/>
              <w:rPr>
                <w:rFonts w:ascii="Verdana" w:hAnsi="Verdana" w:cs="Arial"/>
                <w:bCs/>
                <w:sz w:val="16"/>
                <w:szCs w:val="16"/>
              </w:rPr>
            </w:pPr>
          </w:p>
        </w:tc>
        <w:tc>
          <w:tcPr>
            <w:tcW w:w="0" w:type="auto"/>
            <w:vAlign w:val="center"/>
          </w:tcPr>
          <w:p w14:paraId="417A54FD"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4.2.5</w:t>
            </w:r>
          </w:p>
        </w:tc>
        <w:tc>
          <w:tcPr>
            <w:tcW w:w="0" w:type="auto"/>
            <w:vAlign w:val="center"/>
          </w:tcPr>
          <w:p w14:paraId="0D1B3C5D"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Actividades no autorizadas</w:t>
            </w:r>
          </w:p>
        </w:tc>
      </w:tr>
      <w:tr w:rsidR="00FA0D28" w:rsidRPr="002B3025" w14:paraId="6B5472E7" w14:textId="77777777" w:rsidTr="12B437D6">
        <w:tc>
          <w:tcPr>
            <w:tcW w:w="0" w:type="auto"/>
            <w:vMerge/>
            <w:vAlign w:val="center"/>
          </w:tcPr>
          <w:p w14:paraId="12A9C33F" w14:textId="77777777" w:rsidR="002B3025" w:rsidRPr="00DF5598" w:rsidRDefault="002B3025" w:rsidP="00B929BB">
            <w:pPr>
              <w:rPr>
                <w:rFonts w:ascii="Verdana" w:hAnsi="Verdana" w:cs="Arial"/>
                <w:bCs/>
                <w:sz w:val="16"/>
                <w:szCs w:val="16"/>
              </w:rPr>
            </w:pPr>
          </w:p>
        </w:tc>
        <w:tc>
          <w:tcPr>
            <w:tcW w:w="0" w:type="auto"/>
            <w:vMerge/>
            <w:vAlign w:val="center"/>
          </w:tcPr>
          <w:p w14:paraId="15B40388" w14:textId="77777777" w:rsidR="002B3025" w:rsidRPr="00DF5598" w:rsidRDefault="002B3025" w:rsidP="00B929BB">
            <w:pPr>
              <w:tabs>
                <w:tab w:val="left" w:pos="540"/>
              </w:tabs>
              <w:rPr>
                <w:rFonts w:ascii="Verdana" w:hAnsi="Verdana" w:cs="Arial"/>
                <w:bCs/>
                <w:sz w:val="16"/>
                <w:szCs w:val="16"/>
              </w:rPr>
            </w:pPr>
          </w:p>
        </w:tc>
        <w:tc>
          <w:tcPr>
            <w:tcW w:w="0" w:type="auto"/>
            <w:vMerge w:val="restart"/>
            <w:vAlign w:val="center"/>
          </w:tcPr>
          <w:p w14:paraId="35F8425D"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4.3</w:t>
            </w:r>
          </w:p>
        </w:tc>
        <w:tc>
          <w:tcPr>
            <w:tcW w:w="0" w:type="auto"/>
            <w:vMerge w:val="restart"/>
            <w:vAlign w:val="center"/>
          </w:tcPr>
          <w:p w14:paraId="1016A7FB"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Productos inadecuados</w:t>
            </w:r>
          </w:p>
        </w:tc>
        <w:tc>
          <w:tcPr>
            <w:tcW w:w="0" w:type="auto"/>
            <w:vAlign w:val="center"/>
          </w:tcPr>
          <w:p w14:paraId="5036F284"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4.3.1</w:t>
            </w:r>
          </w:p>
        </w:tc>
        <w:tc>
          <w:tcPr>
            <w:tcW w:w="0" w:type="auto"/>
            <w:vAlign w:val="center"/>
          </w:tcPr>
          <w:p w14:paraId="6702A3D8"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Defectos del producto</w:t>
            </w:r>
          </w:p>
        </w:tc>
      </w:tr>
      <w:tr w:rsidR="00FA0D28" w:rsidRPr="002B3025" w14:paraId="16BA0BE7" w14:textId="77777777" w:rsidTr="12B437D6">
        <w:tc>
          <w:tcPr>
            <w:tcW w:w="0" w:type="auto"/>
            <w:vMerge/>
            <w:vAlign w:val="center"/>
          </w:tcPr>
          <w:p w14:paraId="21C8F52A" w14:textId="77777777" w:rsidR="002B3025" w:rsidRPr="00DF5598" w:rsidRDefault="002B3025" w:rsidP="00B929BB">
            <w:pPr>
              <w:rPr>
                <w:rFonts w:ascii="Verdana" w:hAnsi="Verdana" w:cs="Arial"/>
                <w:bCs/>
                <w:sz w:val="16"/>
                <w:szCs w:val="16"/>
              </w:rPr>
            </w:pPr>
          </w:p>
        </w:tc>
        <w:tc>
          <w:tcPr>
            <w:tcW w:w="0" w:type="auto"/>
            <w:vMerge/>
            <w:vAlign w:val="center"/>
          </w:tcPr>
          <w:p w14:paraId="35721FCE"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763AE99D" w14:textId="77777777" w:rsidR="002B3025" w:rsidRPr="00DF5598" w:rsidRDefault="002B3025" w:rsidP="00B929BB">
            <w:pPr>
              <w:rPr>
                <w:rFonts w:ascii="Verdana" w:hAnsi="Verdana" w:cs="Arial"/>
                <w:bCs/>
                <w:sz w:val="16"/>
                <w:szCs w:val="16"/>
              </w:rPr>
            </w:pPr>
          </w:p>
        </w:tc>
        <w:tc>
          <w:tcPr>
            <w:tcW w:w="0" w:type="auto"/>
            <w:vMerge/>
            <w:vAlign w:val="center"/>
          </w:tcPr>
          <w:p w14:paraId="4D212CB0" w14:textId="77777777" w:rsidR="002B3025" w:rsidRPr="00DF5598" w:rsidRDefault="002B3025" w:rsidP="00B929BB">
            <w:pPr>
              <w:jc w:val="both"/>
              <w:rPr>
                <w:rFonts w:ascii="Verdana" w:hAnsi="Verdana" w:cs="Arial"/>
                <w:bCs/>
                <w:sz w:val="16"/>
                <w:szCs w:val="16"/>
              </w:rPr>
            </w:pPr>
          </w:p>
        </w:tc>
        <w:tc>
          <w:tcPr>
            <w:tcW w:w="0" w:type="auto"/>
            <w:vAlign w:val="center"/>
          </w:tcPr>
          <w:p w14:paraId="0CBC3122"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4.3.2</w:t>
            </w:r>
          </w:p>
        </w:tc>
        <w:tc>
          <w:tcPr>
            <w:tcW w:w="0" w:type="auto"/>
            <w:vAlign w:val="center"/>
          </w:tcPr>
          <w:p w14:paraId="2AB5ACFC"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Error en los modelos financieros y de negocios</w:t>
            </w:r>
          </w:p>
        </w:tc>
      </w:tr>
      <w:tr w:rsidR="00FA0D28" w:rsidRPr="002B3025" w14:paraId="3605B2BA" w14:textId="77777777" w:rsidTr="12B437D6">
        <w:tc>
          <w:tcPr>
            <w:tcW w:w="0" w:type="auto"/>
            <w:vMerge/>
            <w:vAlign w:val="center"/>
          </w:tcPr>
          <w:p w14:paraId="7A6753E9" w14:textId="77777777" w:rsidR="002B3025" w:rsidRPr="00DF5598" w:rsidRDefault="002B3025" w:rsidP="00B929BB">
            <w:pPr>
              <w:rPr>
                <w:rFonts w:ascii="Verdana" w:hAnsi="Verdana" w:cs="Arial"/>
                <w:bCs/>
                <w:sz w:val="16"/>
                <w:szCs w:val="16"/>
              </w:rPr>
            </w:pPr>
          </w:p>
        </w:tc>
        <w:tc>
          <w:tcPr>
            <w:tcW w:w="0" w:type="auto"/>
            <w:vMerge/>
            <w:vAlign w:val="center"/>
          </w:tcPr>
          <w:p w14:paraId="690B1E48" w14:textId="77777777" w:rsidR="002B3025" w:rsidRPr="00DF5598" w:rsidRDefault="002B3025" w:rsidP="00B929BB">
            <w:pPr>
              <w:tabs>
                <w:tab w:val="left" w:pos="540"/>
              </w:tabs>
              <w:rPr>
                <w:rFonts w:ascii="Verdana" w:hAnsi="Verdana" w:cs="Arial"/>
                <w:bCs/>
                <w:sz w:val="16"/>
                <w:szCs w:val="16"/>
              </w:rPr>
            </w:pPr>
          </w:p>
        </w:tc>
        <w:tc>
          <w:tcPr>
            <w:tcW w:w="0" w:type="auto"/>
            <w:vMerge w:val="restart"/>
            <w:vAlign w:val="center"/>
          </w:tcPr>
          <w:p w14:paraId="6A95AE1C"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4.4</w:t>
            </w:r>
          </w:p>
        </w:tc>
        <w:tc>
          <w:tcPr>
            <w:tcW w:w="0" w:type="auto"/>
            <w:vMerge w:val="restart"/>
            <w:vAlign w:val="center"/>
          </w:tcPr>
          <w:p w14:paraId="0B454EFA" w14:textId="77777777" w:rsidR="002B3025" w:rsidRPr="00DF5598" w:rsidRDefault="002B3025" w:rsidP="00B929BB">
            <w:pPr>
              <w:pStyle w:val="INCISO"/>
              <w:spacing w:after="0" w:line="240" w:lineRule="auto"/>
              <w:ind w:left="0" w:firstLine="0"/>
              <w:rPr>
                <w:rFonts w:ascii="Verdana" w:hAnsi="Verdana"/>
                <w:bCs/>
                <w:sz w:val="16"/>
                <w:szCs w:val="16"/>
              </w:rPr>
            </w:pPr>
            <w:r w:rsidRPr="00DF5598">
              <w:rPr>
                <w:rFonts w:ascii="Verdana" w:hAnsi="Verdana"/>
                <w:bCs/>
                <w:sz w:val="16"/>
                <w:szCs w:val="16"/>
              </w:rPr>
              <w:t>Actividades de Asesoramiento</w:t>
            </w:r>
          </w:p>
          <w:p w14:paraId="7CF38863" w14:textId="77777777" w:rsidR="002B3025" w:rsidRPr="00DF5598" w:rsidRDefault="002B3025" w:rsidP="00B929BB">
            <w:pPr>
              <w:jc w:val="both"/>
              <w:rPr>
                <w:rFonts w:ascii="Verdana" w:hAnsi="Verdana" w:cs="Arial"/>
                <w:bCs/>
                <w:sz w:val="16"/>
                <w:szCs w:val="16"/>
              </w:rPr>
            </w:pPr>
          </w:p>
        </w:tc>
        <w:tc>
          <w:tcPr>
            <w:tcW w:w="0" w:type="auto"/>
            <w:vAlign w:val="center"/>
          </w:tcPr>
          <w:p w14:paraId="25C42751"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4.4.1</w:t>
            </w:r>
          </w:p>
        </w:tc>
        <w:tc>
          <w:tcPr>
            <w:tcW w:w="0" w:type="auto"/>
            <w:vAlign w:val="center"/>
          </w:tcPr>
          <w:p w14:paraId="712510E2"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Peticiones/quejas/reclamos relacionados con las actividades de asesoramiento</w:t>
            </w:r>
          </w:p>
        </w:tc>
      </w:tr>
      <w:tr w:rsidR="00FA0D28" w:rsidRPr="002B3025" w14:paraId="744436C7" w14:textId="77777777" w:rsidTr="12B437D6">
        <w:tc>
          <w:tcPr>
            <w:tcW w:w="0" w:type="auto"/>
            <w:vMerge/>
            <w:vAlign w:val="center"/>
          </w:tcPr>
          <w:p w14:paraId="13A65088" w14:textId="77777777" w:rsidR="002B3025" w:rsidRPr="00DF5598" w:rsidRDefault="002B3025" w:rsidP="00B929BB">
            <w:pPr>
              <w:rPr>
                <w:rFonts w:ascii="Verdana" w:hAnsi="Verdana" w:cs="Arial"/>
                <w:bCs/>
                <w:sz w:val="16"/>
                <w:szCs w:val="16"/>
              </w:rPr>
            </w:pPr>
          </w:p>
        </w:tc>
        <w:tc>
          <w:tcPr>
            <w:tcW w:w="0" w:type="auto"/>
            <w:vMerge/>
            <w:vAlign w:val="center"/>
          </w:tcPr>
          <w:p w14:paraId="6E6C2567"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45E3E2DE" w14:textId="77777777" w:rsidR="002B3025" w:rsidRPr="00DF5598" w:rsidRDefault="002B3025" w:rsidP="00B929BB">
            <w:pPr>
              <w:rPr>
                <w:rFonts w:ascii="Verdana" w:hAnsi="Verdana" w:cs="Arial"/>
                <w:bCs/>
                <w:sz w:val="16"/>
                <w:szCs w:val="16"/>
              </w:rPr>
            </w:pPr>
          </w:p>
        </w:tc>
        <w:tc>
          <w:tcPr>
            <w:tcW w:w="0" w:type="auto"/>
            <w:vMerge/>
            <w:vAlign w:val="center"/>
          </w:tcPr>
          <w:p w14:paraId="528341A1" w14:textId="77777777" w:rsidR="002B3025" w:rsidRPr="00DF5598" w:rsidRDefault="002B3025" w:rsidP="00B929BB">
            <w:pPr>
              <w:rPr>
                <w:rFonts w:ascii="Verdana" w:hAnsi="Verdana" w:cs="Arial"/>
                <w:bCs/>
                <w:sz w:val="16"/>
                <w:szCs w:val="16"/>
              </w:rPr>
            </w:pPr>
          </w:p>
        </w:tc>
        <w:tc>
          <w:tcPr>
            <w:tcW w:w="0" w:type="auto"/>
            <w:vAlign w:val="center"/>
          </w:tcPr>
          <w:p w14:paraId="1079954F"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4.4.2</w:t>
            </w:r>
          </w:p>
        </w:tc>
        <w:tc>
          <w:tcPr>
            <w:tcW w:w="0" w:type="auto"/>
            <w:vAlign w:val="center"/>
          </w:tcPr>
          <w:p w14:paraId="2361A6AE"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Litigios relacionados con las actividades de asesoramiento</w:t>
            </w:r>
          </w:p>
        </w:tc>
      </w:tr>
      <w:tr w:rsidR="00FA0D28" w:rsidRPr="002B3025" w14:paraId="25CBA222" w14:textId="77777777" w:rsidTr="12B437D6">
        <w:tc>
          <w:tcPr>
            <w:tcW w:w="0" w:type="auto"/>
            <w:vMerge/>
            <w:vAlign w:val="center"/>
          </w:tcPr>
          <w:p w14:paraId="77F65AC3" w14:textId="77777777" w:rsidR="002B3025" w:rsidRPr="00DF5598" w:rsidRDefault="002B3025" w:rsidP="00B929BB">
            <w:pPr>
              <w:rPr>
                <w:rFonts w:ascii="Verdana" w:hAnsi="Verdana" w:cs="Arial"/>
                <w:bCs/>
                <w:sz w:val="16"/>
                <w:szCs w:val="16"/>
              </w:rPr>
            </w:pPr>
          </w:p>
        </w:tc>
        <w:tc>
          <w:tcPr>
            <w:tcW w:w="0" w:type="auto"/>
            <w:vMerge/>
            <w:vAlign w:val="center"/>
          </w:tcPr>
          <w:p w14:paraId="4104EF63" w14:textId="77777777" w:rsidR="002B3025" w:rsidRPr="00DF5598" w:rsidRDefault="002B3025" w:rsidP="00B929BB">
            <w:pPr>
              <w:tabs>
                <w:tab w:val="left" w:pos="540"/>
              </w:tabs>
              <w:rPr>
                <w:rFonts w:ascii="Verdana" w:hAnsi="Verdana" w:cs="Arial"/>
                <w:bCs/>
                <w:sz w:val="16"/>
                <w:szCs w:val="16"/>
              </w:rPr>
            </w:pPr>
          </w:p>
        </w:tc>
        <w:tc>
          <w:tcPr>
            <w:tcW w:w="0" w:type="auto"/>
            <w:vAlign w:val="center"/>
          </w:tcPr>
          <w:p w14:paraId="75608F3D"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4.5</w:t>
            </w:r>
          </w:p>
        </w:tc>
        <w:tc>
          <w:tcPr>
            <w:tcW w:w="0" w:type="auto"/>
            <w:vAlign w:val="center"/>
          </w:tcPr>
          <w:p w14:paraId="1464150B"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Otros</w:t>
            </w:r>
          </w:p>
        </w:tc>
        <w:tc>
          <w:tcPr>
            <w:tcW w:w="0" w:type="auto"/>
            <w:vAlign w:val="center"/>
          </w:tcPr>
          <w:p w14:paraId="5E880077"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4.5.1</w:t>
            </w:r>
          </w:p>
        </w:tc>
        <w:tc>
          <w:tcPr>
            <w:tcW w:w="0" w:type="auto"/>
            <w:vAlign w:val="center"/>
          </w:tcPr>
          <w:p w14:paraId="2286BB49"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La entidad debe especificar a qué hace referencia</w:t>
            </w:r>
          </w:p>
        </w:tc>
      </w:tr>
      <w:tr w:rsidR="00FA0D28" w:rsidRPr="002B3025" w14:paraId="394F60B2" w14:textId="77777777" w:rsidTr="12B437D6">
        <w:tc>
          <w:tcPr>
            <w:tcW w:w="0" w:type="auto"/>
            <w:vMerge w:val="restart"/>
            <w:vAlign w:val="center"/>
          </w:tcPr>
          <w:p w14:paraId="1017B830"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5</w:t>
            </w:r>
          </w:p>
        </w:tc>
        <w:tc>
          <w:tcPr>
            <w:tcW w:w="0" w:type="auto"/>
            <w:vMerge w:val="restart"/>
            <w:vAlign w:val="center"/>
          </w:tcPr>
          <w:p w14:paraId="7901C800" w14:textId="77777777" w:rsidR="002B3025" w:rsidRPr="00DF5598" w:rsidRDefault="002B3025" w:rsidP="00B929BB">
            <w:pPr>
              <w:tabs>
                <w:tab w:val="left" w:pos="540"/>
              </w:tabs>
              <w:jc w:val="both"/>
              <w:rPr>
                <w:rFonts w:ascii="Verdana" w:hAnsi="Verdana" w:cs="Arial"/>
                <w:bCs/>
                <w:sz w:val="16"/>
                <w:szCs w:val="16"/>
              </w:rPr>
            </w:pPr>
            <w:r w:rsidRPr="00DF5598">
              <w:rPr>
                <w:rFonts w:ascii="Verdana" w:hAnsi="Verdana" w:cs="Arial"/>
                <w:bCs/>
                <w:sz w:val="16"/>
                <w:szCs w:val="16"/>
              </w:rPr>
              <w:t>Daños a activos físicos</w:t>
            </w:r>
          </w:p>
          <w:p w14:paraId="54629B8A" w14:textId="77777777" w:rsidR="002B3025" w:rsidRPr="00DF5598" w:rsidRDefault="002B3025" w:rsidP="00B929BB">
            <w:pPr>
              <w:tabs>
                <w:tab w:val="left" w:pos="540"/>
              </w:tabs>
              <w:rPr>
                <w:rFonts w:ascii="Verdana" w:hAnsi="Verdana" w:cs="Arial"/>
                <w:bCs/>
                <w:sz w:val="16"/>
                <w:szCs w:val="16"/>
              </w:rPr>
            </w:pPr>
          </w:p>
        </w:tc>
        <w:tc>
          <w:tcPr>
            <w:tcW w:w="0" w:type="auto"/>
            <w:vAlign w:val="center"/>
          </w:tcPr>
          <w:p w14:paraId="65F5DA91"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5.1</w:t>
            </w:r>
          </w:p>
        </w:tc>
        <w:tc>
          <w:tcPr>
            <w:tcW w:w="0" w:type="auto"/>
            <w:vAlign w:val="center"/>
          </w:tcPr>
          <w:p w14:paraId="23CED9EC"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Desastres naturales</w:t>
            </w:r>
          </w:p>
        </w:tc>
        <w:tc>
          <w:tcPr>
            <w:tcW w:w="0" w:type="auto"/>
            <w:vAlign w:val="center"/>
          </w:tcPr>
          <w:p w14:paraId="518B0621"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5.1.1</w:t>
            </w:r>
          </w:p>
        </w:tc>
        <w:tc>
          <w:tcPr>
            <w:tcW w:w="0" w:type="auto"/>
            <w:vAlign w:val="center"/>
          </w:tcPr>
          <w:p w14:paraId="5D770032"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Desastres naturales</w:t>
            </w:r>
          </w:p>
        </w:tc>
      </w:tr>
      <w:tr w:rsidR="00FA0D28" w:rsidRPr="002B3025" w14:paraId="363ACF4F" w14:textId="77777777" w:rsidTr="12B437D6">
        <w:tc>
          <w:tcPr>
            <w:tcW w:w="0" w:type="auto"/>
            <w:vMerge/>
            <w:vAlign w:val="center"/>
          </w:tcPr>
          <w:p w14:paraId="353D6109" w14:textId="77777777" w:rsidR="002B3025" w:rsidRPr="00DF5598" w:rsidRDefault="002B3025" w:rsidP="00B929BB">
            <w:pPr>
              <w:rPr>
                <w:rFonts w:ascii="Verdana" w:hAnsi="Verdana" w:cs="Arial"/>
                <w:bCs/>
                <w:sz w:val="16"/>
                <w:szCs w:val="16"/>
              </w:rPr>
            </w:pPr>
          </w:p>
        </w:tc>
        <w:tc>
          <w:tcPr>
            <w:tcW w:w="0" w:type="auto"/>
            <w:vMerge/>
            <w:vAlign w:val="center"/>
          </w:tcPr>
          <w:p w14:paraId="0EC05DFB" w14:textId="77777777" w:rsidR="002B3025" w:rsidRPr="00DF5598" w:rsidRDefault="002B3025" w:rsidP="00B929BB">
            <w:pPr>
              <w:tabs>
                <w:tab w:val="left" w:pos="540"/>
              </w:tabs>
              <w:rPr>
                <w:rFonts w:ascii="Verdana" w:hAnsi="Verdana" w:cs="Arial"/>
                <w:bCs/>
                <w:sz w:val="16"/>
                <w:szCs w:val="16"/>
              </w:rPr>
            </w:pPr>
          </w:p>
        </w:tc>
        <w:tc>
          <w:tcPr>
            <w:tcW w:w="0" w:type="auto"/>
            <w:vMerge w:val="restart"/>
            <w:vAlign w:val="center"/>
          </w:tcPr>
          <w:p w14:paraId="04E21325"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5.2</w:t>
            </w:r>
          </w:p>
        </w:tc>
        <w:tc>
          <w:tcPr>
            <w:tcW w:w="0" w:type="auto"/>
            <w:vMerge w:val="restart"/>
            <w:vAlign w:val="center"/>
          </w:tcPr>
          <w:p w14:paraId="70052551" w14:textId="77777777" w:rsidR="002B3025" w:rsidRPr="00DF5598" w:rsidRDefault="002B3025" w:rsidP="00B929BB">
            <w:pPr>
              <w:tabs>
                <w:tab w:val="left" w:pos="540"/>
              </w:tabs>
              <w:jc w:val="both"/>
              <w:rPr>
                <w:rFonts w:ascii="Verdana" w:hAnsi="Verdana" w:cs="Arial"/>
                <w:bCs/>
                <w:sz w:val="16"/>
                <w:szCs w:val="16"/>
              </w:rPr>
            </w:pPr>
            <w:r w:rsidRPr="00DF5598">
              <w:rPr>
                <w:rFonts w:ascii="Verdana" w:hAnsi="Verdana" w:cs="Arial"/>
                <w:bCs/>
                <w:sz w:val="16"/>
                <w:szCs w:val="16"/>
              </w:rPr>
              <w:t>Otros acontecimientos</w:t>
            </w:r>
          </w:p>
        </w:tc>
        <w:tc>
          <w:tcPr>
            <w:tcW w:w="0" w:type="auto"/>
            <w:vAlign w:val="center"/>
          </w:tcPr>
          <w:p w14:paraId="10757B15"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5.2.1</w:t>
            </w:r>
          </w:p>
        </w:tc>
        <w:tc>
          <w:tcPr>
            <w:tcW w:w="0" w:type="auto"/>
            <w:vAlign w:val="center"/>
          </w:tcPr>
          <w:p w14:paraId="05FF826A"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Terrorismo</w:t>
            </w:r>
          </w:p>
        </w:tc>
      </w:tr>
      <w:tr w:rsidR="00FA0D28" w:rsidRPr="002B3025" w14:paraId="05F4A06D" w14:textId="77777777" w:rsidTr="12B437D6">
        <w:tc>
          <w:tcPr>
            <w:tcW w:w="0" w:type="auto"/>
            <w:vMerge/>
            <w:vAlign w:val="center"/>
          </w:tcPr>
          <w:p w14:paraId="092FE963" w14:textId="77777777" w:rsidR="002B3025" w:rsidRPr="00DF5598" w:rsidRDefault="002B3025" w:rsidP="00B929BB">
            <w:pPr>
              <w:rPr>
                <w:rFonts w:ascii="Verdana" w:hAnsi="Verdana" w:cs="Arial"/>
                <w:bCs/>
                <w:sz w:val="16"/>
                <w:szCs w:val="16"/>
              </w:rPr>
            </w:pPr>
          </w:p>
        </w:tc>
        <w:tc>
          <w:tcPr>
            <w:tcW w:w="0" w:type="auto"/>
            <w:vMerge/>
            <w:vAlign w:val="center"/>
          </w:tcPr>
          <w:p w14:paraId="0E192CB8"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76D559B2" w14:textId="77777777" w:rsidR="002B3025" w:rsidRPr="00DF5598" w:rsidRDefault="002B3025" w:rsidP="00B929BB">
            <w:pPr>
              <w:rPr>
                <w:rFonts w:ascii="Verdana" w:hAnsi="Verdana" w:cs="Arial"/>
                <w:bCs/>
                <w:sz w:val="16"/>
                <w:szCs w:val="16"/>
              </w:rPr>
            </w:pPr>
          </w:p>
        </w:tc>
        <w:tc>
          <w:tcPr>
            <w:tcW w:w="0" w:type="auto"/>
            <w:vMerge/>
            <w:vAlign w:val="center"/>
          </w:tcPr>
          <w:p w14:paraId="71DEED1C" w14:textId="77777777" w:rsidR="002B3025" w:rsidRPr="00DF5598" w:rsidRDefault="002B3025" w:rsidP="00B929BB">
            <w:pPr>
              <w:jc w:val="both"/>
              <w:rPr>
                <w:rFonts w:ascii="Verdana" w:hAnsi="Verdana" w:cs="Arial"/>
                <w:bCs/>
                <w:sz w:val="16"/>
                <w:szCs w:val="16"/>
              </w:rPr>
            </w:pPr>
          </w:p>
        </w:tc>
        <w:tc>
          <w:tcPr>
            <w:tcW w:w="0" w:type="auto"/>
            <w:vAlign w:val="center"/>
          </w:tcPr>
          <w:p w14:paraId="103B374C"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5.2.2</w:t>
            </w:r>
          </w:p>
        </w:tc>
        <w:tc>
          <w:tcPr>
            <w:tcW w:w="0" w:type="auto"/>
            <w:vAlign w:val="center"/>
          </w:tcPr>
          <w:p w14:paraId="4AC51648"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Vandalismo</w:t>
            </w:r>
          </w:p>
        </w:tc>
      </w:tr>
      <w:tr w:rsidR="00FA0D28" w:rsidRPr="002B3025" w14:paraId="06824938" w14:textId="77777777" w:rsidTr="12B437D6">
        <w:tc>
          <w:tcPr>
            <w:tcW w:w="0" w:type="auto"/>
            <w:vMerge/>
            <w:vAlign w:val="center"/>
          </w:tcPr>
          <w:p w14:paraId="14BB2807" w14:textId="77777777" w:rsidR="002B3025" w:rsidRPr="00DF5598" w:rsidRDefault="002B3025" w:rsidP="00B929BB">
            <w:pPr>
              <w:rPr>
                <w:rFonts w:ascii="Verdana" w:hAnsi="Verdana" w:cs="Arial"/>
                <w:bCs/>
                <w:sz w:val="16"/>
                <w:szCs w:val="16"/>
              </w:rPr>
            </w:pPr>
          </w:p>
        </w:tc>
        <w:tc>
          <w:tcPr>
            <w:tcW w:w="0" w:type="auto"/>
            <w:vMerge/>
            <w:vAlign w:val="center"/>
          </w:tcPr>
          <w:p w14:paraId="6AFB5162" w14:textId="77777777" w:rsidR="002B3025" w:rsidRPr="00DF5598" w:rsidRDefault="002B3025" w:rsidP="00B929BB">
            <w:pPr>
              <w:tabs>
                <w:tab w:val="left" w:pos="540"/>
              </w:tabs>
              <w:rPr>
                <w:rFonts w:ascii="Verdana" w:hAnsi="Verdana" w:cs="Arial"/>
                <w:bCs/>
                <w:sz w:val="16"/>
                <w:szCs w:val="16"/>
              </w:rPr>
            </w:pPr>
          </w:p>
        </w:tc>
        <w:tc>
          <w:tcPr>
            <w:tcW w:w="0" w:type="auto"/>
            <w:vAlign w:val="center"/>
          </w:tcPr>
          <w:p w14:paraId="466E0953"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5.3</w:t>
            </w:r>
          </w:p>
        </w:tc>
        <w:tc>
          <w:tcPr>
            <w:tcW w:w="0" w:type="auto"/>
            <w:vAlign w:val="center"/>
          </w:tcPr>
          <w:p w14:paraId="06687E36"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Otras causas externas</w:t>
            </w:r>
          </w:p>
        </w:tc>
        <w:tc>
          <w:tcPr>
            <w:tcW w:w="0" w:type="auto"/>
            <w:vAlign w:val="center"/>
          </w:tcPr>
          <w:p w14:paraId="71BE94E9"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5.3.1</w:t>
            </w:r>
          </w:p>
        </w:tc>
        <w:tc>
          <w:tcPr>
            <w:tcW w:w="0" w:type="auto"/>
            <w:vAlign w:val="center"/>
          </w:tcPr>
          <w:p w14:paraId="3763B0CC"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La entidad debe especificar a qué hace referencia</w:t>
            </w:r>
          </w:p>
        </w:tc>
      </w:tr>
      <w:tr w:rsidR="00FA0D28" w:rsidRPr="002B3025" w14:paraId="3432D691" w14:textId="77777777" w:rsidTr="12B437D6">
        <w:tc>
          <w:tcPr>
            <w:tcW w:w="0" w:type="auto"/>
            <w:vMerge w:val="restart"/>
            <w:vAlign w:val="center"/>
          </w:tcPr>
          <w:p w14:paraId="4F3FAB48"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6</w:t>
            </w:r>
          </w:p>
        </w:tc>
        <w:tc>
          <w:tcPr>
            <w:tcW w:w="0" w:type="auto"/>
            <w:vMerge w:val="restart"/>
            <w:vAlign w:val="center"/>
          </w:tcPr>
          <w:p w14:paraId="589ABD00" w14:textId="77777777" w:rsidR="002B3025" w:rsidRPr="00DF5598" w:rsidRDefault="002B3025" w:rsidP="00B929BB">
            <w:pPr>
              <w:tabs>
                <w:tab w:val="left" w:pos="540"/>
              </w:tabs>
              <w:jc w:val="both"/>
              <w:rPr>
                <w:rFonts w:ascii="Verdana" w:hAnsi="Verdana" w:cs="Arial"/>
                <w:bCs/>
                <w:sz w:val="16"/>
                <w:szCs w:val="16"/>
              </w:rPr>
            </w:pPr>
            <w:r w:rsidRPr="00DF5598">
              <w:rPr>
                <w:rFonts w:ascii="Verdana" w:hAnsi="Verdana" w:cs="Arial"/>
                <w:bCs/>
                <w:sz w:val="16"/>
                <w:szCs w:val="16"/>
              </w:rPr>
              <w:t>Fallas tecnológicas</w:t>
            </w:r>
          </w:p>
        </w:tc>
        <w:tc>
          <w:tcPr>
            <w:tcW w:w="0" w:type="auto"/>
            <w:vMerge w:val="restart"/>
            <w:vAlign w:val="center"/>
          </w:tcPr>
          <w:p w14:paraId="43518CA8"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6.1</w:t>
            </w:r>
          </w:p>
        </w:tc>
        <w:tc>
          <w:tcPr>
            <w:tcW w:w="0" w:type="auto"/>
            <w:vMerge w:val="restart"/>
            <w:vAlign w:val="center"/>
          </w:tcPr>
          <w:p w14:paraId="2A8DD2D6"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Sistemas</w:t>
            </w:r>
          </w:p>
        </w:tc>
        <w:tc>
          <w:tcPr>
            <w:tcW w:w="0" w:type="auto"/>
            <w:vAlign w:val="center"/>
          </w:tcPr>
          <w:p w14:paraId="1DDE325D"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6.1.1</w:t>
            </w:r>
          </w:p>
        </w:tc>
        <w:tc>
          <w:tcPr>
            <w:tcW w:w="0" w:type="auto"/>
            <w:vAlign w:val="center"/>
          </w:tcPr>
          <w:p w14:paraId="703ECC5C"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Hardware</w:t>
            </w:r>
          </w:p>
        </w:tc>
      </w:tr>
      <w:tr w:rsidR="00FA0D28" w:rsidRPr="002B3025" w14:paraId="4DD41E72" w14:textId="77777777" w:rsidTr="12B437D6">
        <w:tc>
          <w:tcPr>
            <w:tcW w:w="0" w:type="auto"/>
            <w:vMerge/>
            <w:vAlign w:val="center"/>
          </w:tcPr>
          <w:p w14:paraId="1D5E36F2" w14:textId="77777777" w:rsidR="002B3025" w:rsidRPr="00DF5598" w:rsidRDefault="002B3025" w:rsidP="00B929BB">
            <w:pPr>
              <w:rPr>
                <w:rFonts w:ascii="Verdana" w:hAnsi="Verdana" w:cs="Arial"/>
                <w:bCs/>
                <w:sz w:val="16"/>
                <w:szCs w:val="16"/>
              </w:rPr>
            </w:pPr>
          </w:p>
        </w:tc>
        <w:tc>
          <w:tcPr>
            <w:tcW w:w="0" w:type="auto"/>
            <w:vMerge/>
            <w:vAlign w:val="center"/>
          </w:tcPr>
          <w:p w14:paraId="426E9338"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271292C1" w14:textId="77777777" w:rsidR="002B3025" w:rsidRPr="00DF5598" w:rsidRDefault="002B3025" w:rsidP="00B929BB">
            <w:pPr>
              <w:rPr>
                <w:rFonts w:ascii="Verdana" w:hAnsi="Verdana" w:cs="Arial"/>
                <w:bCs/>
                <w:sz w:val="16"/>
                <w:szCs w:val="16"/>
              </w:rPr>
            </w:pPr>
          </w:p>
        </w:tc>
        <w:tc>
          <w:tcPr>
            <w:tcW w:w="0" w:type="auto"/>
            <w:vMerge/>
            <w:vAlign w:val="center"/>
          </w:tcPr>
          <w:p w14:paraId="0E94AD90" w14:textId="77777777" w:rsidR="002B3025" w:rsidRPr="00DF5598" w:rsidRDefault="002B3025" w:rsidP="00B929BB">
            <w:pPr>
              <w:jc w:val="both"/>
              <w:rPr>
                <w:rFonts w:ascii="Verdana" w:hAnsi="Verdana" w:cs="Arial"/>
                <w:bCs/>
                <w:sz w:val="16"/>
                <w:szCs w:val="16"/>
              </w:rPr>
            </w:pPr>
          </w:p>
        </w:tc>
        <w:tc>
          <w:tcPr>
            <w:tcW w:w="0" w:type="auto"/>
            <w:vAlign w:val="center"/>
          </w:tcPr>
          <w:p w14:paraId="78D330AB"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6.1.2</w:t>
            </w:r>
          </w:p>
        </w:tc>
        <w:tc>
          <w:tcPr>
            <w:tcW w:w="0" w:type="auto"/>
            <w:vAlign w:val="center"/>
          </w:tcPr>
          <w:p w14:paraId="58FF1BA3"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Software</w:t>
            </w:r>
          </w:p>
        </w:tc>
      </w:tr>
      <w:tr w:rsidR="00FA0D28" w:rsidRPr="002B3025" w14:paraId="4B05B5AF" w14:textId="77777777" w:rsidTr="12B437D6">
        <w:tc>
          <w:tcPr>
            <w:tcW w:w="0" w:type="auto"/>
            <w:vMerge/>
            <w:vAlign w:val="center"/>
          </w:tcPr>
          <w:p w14:paraId="5DA0DA46" w14:textId="77777777" w:rsidR="002B3025" w:rsidRPr="00DF5598" w:rsidRDefault="002B3025" w:rsidP="00B929BB">
            <w:pPr>
              <w:rPr>
                <w:rFonts w:ascii="Verdana" w:hAnsi="Verdana" w:cs="Arial"/>
                <w:bCs/>
                <w:sz w:val="16"/>
                <w:szCs w:val="16"/>
              </w:rPr>
            </w:pPr>
          </w:p>
        </w:tc>
        <w:tc>
          <w:tcPr>
            <w:tcW w:w="0" w:type="auto"/>
            <w:vMerge/>
            <w:vAlign w:val="center"/>
          </w:tcPr>
          <w:p w14:paraId="7EE2879E"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5379B095" w14:textId="77777777" w:rsidR="002B3025" w:rsidRPr="00DF5598" w:rsidRDefault="002B3025" w:rsidP="00B929BB">
            <w:pPr>
              <w:rPr>
                <w:rFonts w:ascii="Verdana" w:hAnsi="Verdana" w:cs="Arial"/>
                <w:bCs/>
                <w:sz w:val="16"/>
                <w:szCs w:val="16"/>
              </w:rPr>
            </w:pPr>
          </w:p>
        </w:tc>
        <w:tc>
          <w:tcPr>
            <w:tcW w:w="0" w:type="auto"/>
            <w:vMerge/>
            <w:vAlign w:val="center"/>
          </w:tcPr>
          <w:p w14:paraId="7E782B74" w14:textId="77777777" w:rsidR="002B3025" w:rsidRPr="00DF5598" w:rsidRDefault="002B3025" w:rsidP="00B929BB">
            <w:pPr>
              <w:jc w:val="both"/>
              <w:rPr>
                <w:rFonts w:ascii="Verdana" w:hAnsi="Verdana" w:cs="Arial"/>
                <w:bCs/>
                <w:sz w:val="16"/>
                <w:szCs w:val="16"/>
              </w:rPr>
            </w:pPr>
          </w:p>
        </w:tc>
        <w:tc>
          <w:tcPr>
            <w:tcW w:w="0" w:type="auto"/>
            <w:vAlign w:val="center"/>
          </w:tcPr>
          <w:p w14:paraId="6327ED7C"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6.1.3</w:t>
            </w:r>
          </w:p>
        </w:tc>
        <w:tc>
          <w:tcPr>
            <w:tcW w:w="0" w:type="auto"/>
            <w:vAlign w:val="center"/>
          </w:tcPr>
          <w:p w14:paraId="0DCEA111"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Telecomunicaciones</w:t>
            </w:r>
          </w:p>
        </w:tc>
      </w:tr>
      <w:tr w:rsidR="00FA0D28" w:rsidRPr="002B3025" w14:paraId="17BAAE76" w14:textId="77777777" w:rsidTr="12B437D6">
        <w:tc>
          <w:tcPr>
            <w:tcW w:w="0" w:type="auto"/>
            <w:vMerge/>
            <w:vAlign w:val="center"/>
          </w:tcPr>
          <w:p w14:paraId="3517D05E" w14:textId="77777777" w:rsidR="002B3025" w:rsidRPr="00DF5598" w:rsidRDefault="002B3025" w:rsidP="00B929BB">
            <w:pPr>
              <w:rPr>
                <w:rFonts w:ascii="Verdana" w:hAnsi="Verdana" w:cs="Arial"/>
                <w:bCs/>
                <w:sz w:val="16"/>
                <w:szCs w:val="16"/>
              </w:rPr>
            </w:pPr>
          </w:p>
        </w:tc>
        <w:tc>
          <w:tcPr>
            <w:tcW w:w="0" w:type="auto"/>
            <w:vMerge/>
            <w:vAlign w:val="center"/>
          </w:tcPr>
          <w:p w14:paraId="6DA17F29"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67984001" w14:textId="77777777" w:rsidR="002B3025" w:rsidRPr="00DF5598" w:rsidRDefault="002B3025" w:rsidP="00B929BB">
            <w:pPr>
              <w:rPr>
                <w:rFonts w:ascii="Verdana" w:hAnsi="Verdana" w:cs="Arial"/>
                <w:bCs/>
                <w:sz w:val="16"/>
                <w:szCs w:val="16"/>
              </w:rPr>
            </w:pPr>
          </w:p>
        </w:tc>
        <w:tc>
          <w:tcPr>
            <w:tcW w:w="0" w:type="auto"/>
            <w:vMerge/>
            <w:vAlign w:val="center"/>
          </w:tcPr>
          <w:p w14:paraId="56DC46CC" w14:textId="77777777" w:rsidR="002B3025" w:rsidRPr="00DF5598" w:rsidRDefault="002B3025" w:rsidP="00B929BB">
            <w:pPr>
              <w:jc w:val="both"/>
              <w:rPr>
                <w:rFonts w:ascii="Verdana" w:hAnsi="Verdana" w:cs="Arial"/>
                <w:bCs/>
                <w:sz w:val="16"/>
                <w:szCs w:val="16"/>
              </w:rPr>
            </w:pPr>
          </w:p>
        </w:tc>
        <w:tc>
          <w:tcPr>
            <w:tcW w:w="0" w:type="auto"/>
            <w:vAlign w:val="center"/>
          </w:tcPr>
          <w:p w14:paraId="5B94D12E"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6.1.4</w:t>
            </w:r>
          </w:p>
        </w:tc>
        <w:tc>
          <w:tcPr>
            <w:tcW w:w="0" w:type="auto"/>
            <w:vAlign w:val="center"/>
          </w:tcPr>
          <w:p w14:paraId="7729C014"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Prestación servicios públicos</w:t>
            </w:r>
          </w:p>
        </w:tc>
      </w:tr>
      <w:tr w:rsidR="00FA0D28" w:rsidRPr="002B3025" w14:paraId="5FB34371" w14:textId="77777777" w:rsidTr="12B437D6">
        <w:tc>
          <w:tcPr>
            <w:tcW w:w="0" w:type="auto"/>
            <w:vMerge/>
            <w:vAlign w:val="center"/>
          </w:tcPr>
          <w:p w14:paraId="6FC3AD9F" w14:textId="77777777" w:rsidR="002B3025" w:rsidRPr="00DF5598" w:rsidRDefault="002B3025" w:rsidP="00B929BB">
            <w:pPr>
              <w:rPr>
                <w:rFonts w:ascii="Verdana" w:hAnsi="Verdana" w:cs="Arial"/>
                <w:bCs/>
                <w:sz w:val="16"/>
                <w:szCs w:val="16"/>
              </w:rPr>
            </w:pPr>
          </w:p>
        </w:tc>
        <w:tc>
          <w:tcPr>
            <w:tcW w:w="0" w:type="auto"/>
            <w:vMerge/>
            <w:vAlign w:val="center"/>
          </w:tcPr>
          <w:p w14:paraId="40E894EA" w14:textId="77777777" w:rsidR="002B3025" w:rsidRPr="00DF5598" w:rsidRDefault="002B3025" w:rsidP="00B929BB">
            <w:pPr>
              <w:tabs>
                <w:tab w:val="left" w:pos="540"/>
              </w:tabs>
              <w:rPr>
                <w:rFonts w:ascii="Verdana" w:hAnsi="Verdana" w:cs="Arial"/>
                <w:bCs/>
                <w:sz w:val="16"/>
                <w:szCs w:val="16"/>
              </w:rPr>
            </w:pPr>
          </w:p>
        </w:tc>
        <w:tc>
          <w:tcPr>
            <w:tcW w:w="0" w:type="auto"/>
            <w:vAlign w:val="center"/>
          </w:tcPr>
          <w:p w14:paraId="35A59B11"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6.2</w:t>
            </w:r>
          </w:p>
        </w:tc>
        <w:tc>
          <w:tcPr>
            <w:tcW w:w="0" w:type="auto"/>
            <w:vAlign w:val="center"/>
          </w:tcPr>
          <w:p w14:paraId="2D3AAEA6"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Otros</w:t>
            </w:r>
          </w:p>
        </w:tc>
        <w:tc>
          <w:tcPr>
            <w:tcW w:w="0" w:type="auto"/>
            <w:vAlign w:val="center"/>
          </w:tcPr>
          <w:p w14:paraId="3F4AD71E"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6.2.1</w:t>
            </w:r>
          </w:p>
        </w:tc>
        <w:tc>
          <w:tcPr>
            <w:tcW w:w="0" w:type="auto"/>
            <w:vAlign w:val="center"/>
          </w:tcPr>
          <w:p w14:paraId="352B784F"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La entidad debe especificar a qué hace referencia</w:t>
            </w:r>
          </w:p>
        </w:tc>
      </w:tr>
      <w:tr w:rsidR="00FA0D28" w:rsidRPr="002B3025" w14:paraId="7C7E9F52" w14:textId="77777777" w:rsidTr="12B437D6">
        <w:tc>
          <w:tcPr>
            <w:tcW w:w="0" w:type="auto"/>
            <w:vMerge w:val="restart"/>
            <w:vAlign w:val="center"/>
          </w:tcPr>
          <w:p w14:paraId="7B2F3098"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7</w:t>
            </w:r>
          </w:p>
        </w:tc>
        <w:tc>
          <w:tcPr>
            <w:tcW w:w="0" w:type="auto"/>
            <w:vMerge w:val="restart"/>
            <w:vAlign w:val="center"/>
          </w:tcPr>
          <w:p w14:paraId="5C6842A9" w14:textId="77777777" w:rsidR="002B3025" w:rsidRPr="00DF5598" w:rsidRDefault="002B3025" w:rsidP="00B929BB">
            <w:pPr>
              <w:tabs>
                <w:tab w:val="left" w:pos="540"/>
              </w:tabs>
              <w:jc w:val="both"/>
              <w:rPr>
                <w:rFonts w:ascii="Verdana" w:hAnsi="Verdana" w:cs="Arial"/>
                <w:bCs/>
                <w:sz w:val="16"/>
                <w:szCs w:val="16"/>
              </w:rPr>
            </w:pPr>
            <w:r w:rsidRPr="00DF5598">
              <w:rPr>
                <w:rFonts w:ascii="Verdana" w:hAnsi="Verdana" w:cs="Arial"/>
                <w:bCs/>
                <w:sz w:val="16"/>
                <w:szCs w:val="16"/>
              </w:rPr>
              <w:t>Ejecución y administración de procesos</w:t>
            </w:r>
          </w:p>
        </w:tc>
        <w:tc>
          <w:tcPr>
            <w:tcW w:w="0" w:type="auto"/>
            <w:vMerge w:val="restart"/>
            <w:vAlign w:val="center"/>
          </w:tcPr>
          <w:p w14:paraId="26D22896"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7.1</w:t>
            </w:r>
          </w:p>
        </w:tc>
        <w:tc>
          <w:tcPr>
            <w:tcW w:w="0" w:type="auto"/>
            <w:vMerge w:val="restart"/>
            <w:vAlign w:val="center"/>
          </w:tcPr>
          <w:p w14:paraId="676BB824" w14:textId="77777777" w:rsidR="002B3025" w:rsidRPr="00DF5598" w:rsidRDefault="002B3025" w:rsidP="00B929BB">
            <w:pPr>
              <w:pStyle w:val="INCISO"/>
              <w:spacing w:after="0" w:line="240" w:lineRule="auto"/>
              <w:ind w:left="0" w:firstLine="0"/>
              <w:rPr>
                <w:rFonts w:ascii="Verdana" w:hAnsi="Verdana"/>
                <w:bCs/>
                <w:sz w:val="16"/>
                <w:szCs w:val="16"/>
              </w:rPr>
            </w:pPr>
            <w:r w:rsidRPr="00DF5598">
              <w:rPr>
                <w:rFonts w:ascii="Verdana" w:hAnsi="Verdana"/>
                <w:bCs/>
                <w:sz w:val="16"/>
                <w:szCs w:val="16"/>
              </w:rPr>
              <w:t>Recepción, Ejecución y Mantenimiento de Operaciones</w:t>
            </w:r>
          </w:p>
        </w:tc>
        <w:tc>
          <w:tcPr>
            <w:tcW w:w="0" w:type="auto"/>
            <w:vAlign w:val="center"/>
          </w:tcPr>
          <w:p w14:paraId="2A841904"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7.1.1</w:t>
            </w:r>
          </w:p>
        </w:tc>
        <w:tc>
          <w:tcPr>
            <w:tcW w:w="0" w:type="auto"/>
            <w:vAlign w:val="center"/>
          </w:tcPr>
          <w:p w14:paraId="28C0836C"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Comunicación defectuosa</w:t>
            </w:r>
          </w:p>
        </w:tc>
      </w:tr>
      <w:tr w:rsidR="00FA0D28" w:rsidRPr="002B3025" w14:paraId="499C6ABC" w14:textId="77777777" w:rsidTr="12B437D6">
        <w:tc>
          <w:tcPr>
            <w:tcW w:w="0" w:type="auto"/>
            <w:vMerge/>
            <w:vAlign w:val="center"/>
          </w:tcPr>
          <w:p w14:paraId="20B30BDF" w14:textId="77777777" w:rsidR="002B3025" w:rsidRPr="00DF5598" w:rsidRDefault="002B3025" w:rsidP="00B929BB">
            <w:pPr>
              <w:rPr>
                <w:rFonts w:ascii="Verdana" w:hAnsi="Verdana" w:cs="Arial"/>
                <w:bCs/>
                <w:sz w:val="16"/>
                <w:szCs w:val="16"/>
              </w:rPr>
            </w:pPr>
          </w:p>
        </w:tc>
        <w:tc>
          <w:tcPr>
            <w:tcW w:w="0" w:type="auto"/>
            <w:vMerge/>
            <w:vAlign w:val="center"/>
          </w:tcPr>
          <w:p w14:paraId="0FDB1FE3"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646311F1" w14:textId="77777777" w:rsidR="002B3025" w:rsidRPr="00DF5598" w:rsidRDefault="002B3025" w:rsidP="00B929BB">
            <w:pPr>
              <w:rPr>
                <w:rFonts w:ascii="Verdana" w:hAnsi="Verdana" w:cs="Arial"/>
                <w:bCs/>
                <w:sz w:val="16"/>
                <w:szCs w:val="16"/>
              </w:rPr>
            </w:pPr>
          </w:p>
        </w:tc>
        <w:tc>
          <w:tcPr>
            <w:tcW w:w="0" w:type="auto"/>
            <w:vMerge/>
            <w:vAlign w:val="center"/>
          </w:tcPr>
          <w:p w14:paraId="47B43985" w14:textId="77777777" w:rsidR="002B3025" w:rsidRPr="00DF5598" w:rsidRDefault="002B3025" w:rsidP="00B929BB">
            <w:pPr>
              <w:jc w:val="both"/>
              <w:rPr>
                <w:rFonts w:ascii="Verdana" w:hAnsi="Verdana" w:cs="Arial"/>
                <w:bCs/>
                <w:sz w:val="16"/>
                <w:szCs w:val="16"/>
              </w:rPr>
            </w:pPr>
          </w:p>
        </w:tc>
        <w:tc>
          <w:tcPr>
            <w:tcW w:w="0" w:type="auto"/>
            <w:vAlign w:val="center"/>
          </w:tcPr>
          <w:p w14:paraId="680F7D87"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7.1.2</w:t>
            </w:r>
          </w:p>
        </w:tc>
        <w:tc>
          <w:tcPr>
            <w:tcW w:w="0" w:type="auto"/>
            <w:vAlign w:val="center"/>
          </w:tcPr>
          <w:p w14:paraId="354F988F"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Errores de introducción de datos, mantenimiento o descarga</w:t>
            </w:r>
          </w:p>
        </w:tc>
      </w:tr>
      <w:tr w:rsidR="00FA0D28" w:rsidRPr="002B3025" w14:paraId="0A012F96" w14:textId="77777777" w:rsidTr="12B437D6">
        <w:tc>
          <w:tcPr>
            <w:tcW w:w="0" w:type="auto"/>
            <w:vMerge/>
            <w:vAlign w:val="center"/>
          </w:tcPr>
          <w:p w14:paraId="10B77E66" w14:textId="77777777" w:rsidR="002B3025" w:rsidRPr="00DF5598" w:rsidRDefault="002B3025" w:rsidP="00B929BB">
            <w:pPr>
              <w:rPr>
                <w:rFonts w:ascii="Verdana" w:hAnsi="Verdana" w:cs="Arial"/>
                <w:bCs/>
                <w:sz w:val="16"/>
                <w:szCs w:val="16"/>
              </w:rPr>
            </w:pPr>
          </w:p>
        </w:tc>
        <w:tc>
          <w:tcPr>
            <w:tcW w:w="0" w:type="auto"/>
            <w:vMerge/>
            <w:vAlign w:val="center"/>
          </w:tcPr>
          <w:p w14:paraId="6A78C932"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36CB8192" w14:textId="77777777" w:rsidR="002B3025" w:rsidRPr="00DF5598" w:rsidRDefault="002B3025" w:rsidP="00B929BB">
            <w:pPr>
              <w:rPr>
                <w:rFonts w:ascii="Verdana" w:hAnsi="Verdana" w:cs="Arial"/>
                <w:bCs/>
                <w:sz w:val="16"/>
                <w:szCs w:val="16"/>
              </w:rPr>
            </w:pPr>
          </w:p>
        </w:tc>
        <w:tc>
          <w:tcPr>
            <w:tcW w:w="0" w:type="auto"/>
            <w:vMerge/>
            <w:vAlign w:val="center"/>
          </w:tcPr>
          <w:p w14:paraId="383681ED" w14:textId="77777777" w:rsidR="002B3025" w:rsidRPr="00DF5598" w:rsidRDefault="002B3025" w:rsidP="00B929BB">
            <w:pPr>
              <w:jc w:val="both"/>
              <w:rPr>
                <w:rFonts w:ascii="Verdana" w:hAnsi="Verdana" w:cs="Arial"/>
                <w:bCs/>
                <w:sz w:val="16"/>
                <w:szCs w:val="16"/>
              </w:rPr>
            </w:pPr>
          </w:p>
        </w:tc>
        <w:tc>
          <w:tcPr>
            <w:tcW w:w="0" w:type="auto"/>
            <w:vAlign w:val="center"/>
          </w:tcPr>
          <w:p w14:paraId="1E232A4E"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7.1.3</w:t>
            </w:r>
          </w:p>
        </w:tc>
        <w:tc>
          <w:tcPr>
            <w:tcW w:w="0" w:type="auto"/>
            <w:vAlign w:val="center"/>
          </w:tcPr>
          <w:p w14:paraId="461AB792"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Incumplimiento de plazos o de responsabilidades</w:t>
            </w:r>
          </w:p>
        </w:tc>
      </w:tr>
      <w:tr w:rsidR="00FA0D28" w:rsidRPr="002B3025" w14:paraId="64054A53" w14:textId="77777777" w:rsidTr="12B437D6">
        <w:tc>
          <w:tcPr>
            <w:tcW w:w="0" w:type="auto"/>
            <w:vMerge/>
            <w:vAlign w:val="center"/>
          </w:tcPr>
          <w:p w14:paraId="6A8B5545" w14:textId="77777777" w:rsidR="002B3025" w:rsidRPr="00DF5598" w:rsidRDefault="002B3025" w:rsidP="00B929BB">
            <w:pPr>
              <w:rPr>
                <w:rFonts w:ascii="Verdana" w:hAnsi="Verdana" w:cs="Arial"/>
                <w:bCs/>
                <w:sz w:val="16"/>
                <w:szCs w:val="16"/>
              </w:rPr>
            </w:pPr>
          </w:p>
        </w:tc>
        <w:tc>
          <w:tcPr>
            <w:tcW w:w="0" w:type="auto"/>
            <w:vMerge/>
            <w:vAlign w:val="center"/>
          </w:tcPr>
          <w:p w14:paraId="7E5338B7"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59B3BFF6" w14:textId="77777777" w:rsidR="002B3025" w:rsidRPr="00DF5598" w:rsidRDefault="002B3025" w:rsidP="00B929BB">
            <w:pPr>
              <w:rPr>
                <w:rFonts w:ascii="Verdana" w:hAnsi="Verdana" w:cs="Arial"/>
                <w:bCs/>
                <w:sz w:val="16"/>
                <w:szCs w:val="16"/>
              </w:rPr>
            </w:pPr>
          </w:p>
        </w:tc>
        <w:tc>
          <w:tcPr>
            <w:tcW w:w="0" w:type="auto"/>
            <w:vMerge/>
            <w:vAlign w:val="center"/>
          </w:tcPr>
          <w:p w14:paraId="5FD82764" w14:textId="77777777" w:rsidR="002B3025" w:rsidRPr="00DF5598" w:rsidRDefault="002B3025" w:rsidP="00B929BB">
            <w:pPr>
              <w:jc w:val="both"/>
              <w:rPr>
                <w:rFonts w:ascii="Verdana" w:hAnsi="Verdana" w:cs="Arial"/>
                <w:bCs/>
                <w:sz w:val="16"/>
                <w:szCs w:val="16"/>
              </w:rPr>
            </w:pPr>
          </w:p>
        </w:tc>
        <w:tc>
          <w:tcPr>
            <w:tcW w:w="0" w:type="auto"/>
            <w:vAlign w:val="center"/>
          </w:tcPr>
          <w:p w14:paraId="026C1E2B"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7.1.4</w:t>
            </w:r>
          </w:p>
        </w:tc>
        <w:tc>
          <w:tcPr>
            <w:tcW w:w="0" w:type="auto"/>
            <w:vAlign w:val="center"/>
          </w:tcPr>
          <w:p w14:paraId="08CE0E3F"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Ejecución errónea de modelos / sistemas</w:t>
            </w:r>
          </w:p>
        </w:tc>
      </w:tr>
      <w:tr w:rsidR="00FA0D28" w:rsidRPr="002B3025" w14:paraId="0245090B" w14:textId="77777777" w:rsidTr="12B437D6">
        <w:tc>
          <w:tcPr>
            <w:tcW w:w="0" w:type="auto"/>
            <w:vMerge/>
            <w:vAlign w:val="center"/>
          </w:tcPr>
          <w:p w14:paraId="3A012EE8" w14:textId="77777777" w:rsidR="002B3025" w:rsidRPr="00DF5598" w:rsidRDefault="002B3025" w:rsidP="00B929BB">
            <w:pPr>
              <w:rPr>
                <w:rFonts w:ascii="Verdana" w:hAnsi="Verdana" w:cs="Arial"/>
                <w:bCs/>
                <w:sz w:val="16"/>
                <w:szCs w:val="16"/>
              </w:rPr>
            </w:pPr>
          </w:p>
        </w:tc>
        <w:tc>
          <w:tcPr>
            <w:tcW w:w="0" w:type="auto"/>
            <w:vMerge/>
            <w:vAlign w:val="center"/>
          </w:tcPr>
          <w:p w14:paraId="5A713FE3"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45ACDDDA" w14:textId="77777777" w:rsidR="002B3025" w:rsidRPr="00DF5598" w:rsidRDefault="002B3025" w:rsidP="00B929BB">
            <w:pPr>
              <w:rPr>
                <w:rFonts w:ascii="Verdana" w:hAnsi="Verdana" w:cs="Arial"/>
                <w:bCs/>
                <w:sz w:val="16"/>
                <w:szCs w:val="16"/>
              </w:rPr>
            </w:pPr>
          </w:p>
        </w:tc>
        <w:tc>
          <w:tcPr>
            <w:tcW w:w="0" w:type="auto"/>
            <w:vMerge/>
            <w:vAlign w:val="center"/>
          </w:tcPr>
          <w:p w14:paraId="13C7CDBD" w14:textId="77777777" w:rsidR="002B3025" w:rsidRPr="00DF5598" w:rsidRDefault="002B3025" w:rsidP="00B929BB">
            <w:pPr>
              <w:jc w:val="both"/>
              <w:rPr>
                <w:rFonts w:ascii="Verdana" w:hAnsi="Verdana" w:cs="Arial"/>
                <w:bCs/>
                <w:sz w:val="16"/>
                <w:szCs w:val="16"/>
              </w:rPr>
            </w:pPr>
          </w:p>
        </w:tc>
        <w:tc>
          <w:tcPr>
            <w:tcW w:w="0" w:type="auto"/>
            <w:vAlign w:val="center"/>
          </w:tcPr>
          <w:p w14:paraId="732C8175"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7.1.5</w:t>
            </w:r>
          </w:p>
        </w:tc>
        <w:tc>
          <w:tcPr>
            <w:tcW w:w="0" w:type="auto"/>
            <w:vAlign w:val="center"/>
          </w:tcPr>
          <w:p w14:paraId="0D6F4F62"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Errores contables</w:t>
            </w:r>
          </w:p>
        </w:tc>
      </w:tr>
      <w:tr w:rsidR="00FA0D28" w:rsidRPr="002B3025" w14:paraId="07A8C695" w14:textId="77777777" w:rsidTr="12B437D6">
        <w:tc>
          <w:tcPr>
            <w:tcW w:w="0" w:type="auto"/>
            <w:vMerge/>
            <w:vAlign w:val="center"/>
          </w:tcPr>
          <w:p w14:paraId="2D78A571" w14:textId="77777777" w:rsidR="002B3025" w:rsidRPr="00DF5598" w:rsidRDefault="002B3025" w:rsidP="00B929BB">
            <w:pPr>
              <w:rPr>
                <w:rFonts w:ascii="Verdana" w:hAnsi="Verdana" w:cs="Arial"/>
                <w:bCs/>
                <w:sz w:val="16"/>
                <w:szCs w:val="16"/>
              </w:rPr>
            </w:pPr>
          </w:p>
        </w:tc>
        <w:tc>
          <w:tcPr>
            <w:tcW w:w="0" w:type="auto"/>
            <w:vMerge/>
            <w:vAlign w:val="center"/>
          </w:tcPr>
          <w:p w14:paraId="086FAD9C"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3F63DDB6" w14:textId="77777777" w:rsidR="002B3025" w:rsidRPr="00DF5598" w:rsidRDefault="002B3025" w:rsidP="00B929BB">
            <w:pPr>
              <w:rPr>
                <w:rFonts w:ascii="Verdana" w:hAnsi="Verdana" w:cs="Arial"/>
                <w:bCs/>
                <w:sz w:val="16"/>
                <w:szCs w:val="16"/>
              </w:rPr>
            </w:pPr>
          </w:p>
        </w:tc>
        <w:tc>
          <w:tcPr>
            <w:tcW w:w="0" w:type="auto"/>
            <w:vMerge/>
            <w:vAlign w:val="center"/>
          </w:tcPr>
          <w:p w14:paraId="753D771D" w14:textId="77777777" w:rsidR="002B3025" w:rsidRPr="00DF5598" w:rsidRDefault="002B3025" w:rsidP="00B929BB">
            <w:pPr>
              <w:jc w:val="both"/>
              <w:rPr>
                <w:rFonts w:ascii="Verdana" w:hAnsi="Verdana" w:cs="Arial"/>
                <w:bCs/>
                <w:sz w:val="16"/>
                <w:szCs w:val="16"/>
              </w:rPr>
            </w:pPr>
          </w:p>
        </w:tc>
        <w:tc>
          <w:tcPr>
            <w:tcW w:w="0" w:type="auto"/>
            <w:vAlign w:val="center"/>
          </w:tcPr>
          <w:p w14:paraId="520F983B"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7.1.6</w:t>
            </w:r>
          </w:p>
        </w:tc>
        <w:tc>
          <w:tcPr>
            <w:tcW w:w="0" w:type="auto"/>
            <w:vAlign w:val="center"/>
          </w:tcPr>
          <w:p w14:paraId="3B5003A6"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Errores en otras tareas</w:t>
            </w:r>
          </w:p>
        </w:tc>
      </w:tr>
      <w:tr w:rsidR="00FA0D28" w:rsidRPr="002B3025" w14:paraId="79A27EB7" w14:textId="77777777" w:rsidTr="12B437D6">
        <w:tc>
          <w:tcPr>
            <w:tcW w:w="0" w:type="auto"/>
            <w:vMerge/>
            <w:vAlign w:val="center"/>
          </w:tcPr>
          <w:p w14:paraId="70D6FC58" w14:textId="77777777" w:rsidR="002B3025" w:rsidRPr="00DF5598" w:rsidRDefault="002B3025" w:rsidP="00B929BB">
            <w:pPr>
              <w:rPr>
                <w:rFonts w:ascii="Verdana" w:hAnsi="Verdana" w:cs="Arial"/>
                <w:bCs/>
                <w:sz w:val="16"/>
                <w:szCs w:val="16"/>
              </w:rPr>
            </w:pPr>
          </w:p>
        </w:tc>
        <w:tc>
          <w:tcPr>
            <w:tcW w:w="0" w:type="auto"/>
            <w:vMerge/>
            <w:vAlign w:val="center"/>
          </w:tcPr>
          <w:p w14:paraId="029BC158"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2C550CBC" w14:textId="77777777" w:rsidR="002B3025" w:rsidRPr="00DF5598" w:rsidRDefault="002B3025" w:rsidP="00B929BB">
            <w:pPr>
              <w:rPr>
                <w:rFonts w:ascii="Verdana" w:hAnsi="Verdana" w:cs="Arial"/>
                <w:bCs/>
                <w:sz w:val="16"/>
                <w:szCs w:val="16"/>
              </w:rPr>
            </w:pPr>
          </w:p>
        </w:tc>
        <w:tc>
          <w:tcPr>
            <w:tcW w:w="0" w:type="auto"/>
            <w:vMerge/>
            <w:vAlign w:val="center"/>
          </w:tcPr>
          <w:p w14:paraId="55D651E1" w14:textId="77777777" w:rsidR="002B3025" w:rsidRPr="00DF5598" w:rsidRDefault="002B3025" w:rsidP="00B929BB">
            <w:pPr>
              <w:jc w:val="both"/>
              <w:rPr>
                <w:rFonts w:ascii="Verdana" w:hAnsi="Verdana" w:cs="Arial"/>
                <w:bCs/>
                <w:sz w:val="16"/>
                <w:szCs w:val="16"/>
              </w:rPr>
            </w:pPr>
          </w:p>
        </w:tc>
        <w:tc>
          <w:tcPr>
            <w:tcW w:w="0" w:type="auto"/>
            <w:vAlign w:val="center"/>
          </w:tcPr>
          <w:p w14:paraId="1A0FFD75"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7.1.7</w:t>
            </w:r>
          </w:p>
        </w:tc>
        <w:tc>
          <w:tcPr>
            <w:tcW w:w="0" w:type="auto"/>
            <w:vAlign w:val="center"/>
          </w:tcPr>
          <w:p w14:paraId="727B2760"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Fallos en la gestión de colaterales</w:t>
            </w:r>
          </w:p>
        </w:tc>
      </w:tr>
      <w:tr w:rsidR="00FA0D28" w:rsidRPr="002B3025" w14:paraId="53FF5552" w14:textId="77777777" w:rsidTr="12B437D6">
        <w:tc>
          <w:tcPr>
            <w:tcW w:w="0" w:type="auto"/>
            <w:vMerge/>
            <w:vAlign w:val="center"/>
          </w:tcPr>
          <w:p w14:paraId="69E42199" w14:textId="77777777" w:rsidR="002B3025" w:rsidRPr="00DF5598" w:rsidRDefault="002B3025" w:rsidP="00B929BB">
            <w:pPr>
              <w:rPr>
                <w:rFonts w:ascii="Verdana" w:hAnsi="Verdana" w:cs="Arial"/>
                <w:bCs/>
                <w:sz w:val="16"/>
                <w:szCs w:val="16"/>
              </w:rPr>
            </w:pPr>
          </w:p>
        </w:tc>
        <w:tc>
          <w:tcPr>
            <w:tcW w:w="0" w:type="auto"/>
            <w:vMerge/>
            <w:vAlign w:val="center"/>
          </w:tcPr>
          <w:p w14:paraId="6FE9D2CE"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78491C13" w14:textId="77777777" w:rsidR="002B3025" w:rsidRPr="00DF5598" w:rsidRDefault="002B3025" w:rsidP="00B929BB">
            <w:pPr>
              <w:rPr>
                <w:rFonts w:ascii="Verdana" w:hAnsi="Verdana" w:cs="Arial"/>
                <w:bCs/>
                <w:sz w:val="16"/>
                <w:szCs w:val="16"/>
              </w:rPr>
            </w:pPr>
          </w:p>
        </w:tc>
        <w:tc>
          <w:tcPr>
            <w:tcW w:w="0" w:type="auto"/>
            <w:vMerge/>
            <w:vAlign w:val="center"/>
          </w:tcPr>
          <w:p w14:paraId="27C6ECD4" w14:textId="77777777" w:rsidR="002B3025" w:rsidRPr="00DF5598" w:rsidRDefault="002B3025" w:rsidP="00B929BB">
            <w:pPr>
              <w:jc w:val="both"/>
              <w:rPr>
                <w:rFonts w:ascii="Verdana" w:hAnsi="Verdana" w:cs="Arial"/>
                <w:bCs/>
                <w:sz w:val="16"/>
                <w:szCs w:val="16"/>
              </w:rPr>
            </w:pPr>
          </w:p>
        </w:tc>
        <w:tc>
          <w:tcPr>
            <w:tcW w:w="0" w:type="auto"/>
            <w:vAlign w:val="center"/>
          </w:tcPr>
          <w:p w14:paraId="15785876"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7.1.8</w:t>
            </w:r>
          </w:p>
        </w:tc>
        <w:tc>
          <w:tcPr>
            <w:tcW w:w="0" w:type="auto"/>
            <w:vAlign w:val="center"/>
          </w:tcPr>
          <w:p w14:paraId="44E6595E"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Mantenimiento de datos de referencia</w:t>
            </w:r>
          </w:p>
        </w:tc>
      </w:tr>
      <w:tr w:rsidR="00FA0D28" w:rsidRPr="002B3025" w14:paraId="614A9449" w14:textId="77777777" w:rsidTr="12B437D6">
        <w:tc>
          <w:tcPr>
            <w:tcW w:w="0" w:type="auto"/>
            <w:vMerge/>
            <w:vAlign w:val="center"/>
          </w:tcPr>
          <w:p w14:paraId="05791365" w14:textId="77777777" w:rsidR="002B3025" w:rsidRPr="00DF5598" w:rsidRDefault="002B3025" w:rsidP="00B929BB">
            <w:pPr>
              <w:rPr>
                <w:rFonts w:ascii="Verdana" w:hAnsi="Verdana" w:cs="Arial"/>
                <w:bCs/>
                <w:sz w:val="16"/>
                <w:szCs w:val="16"/>
              </w:rPr>
            </w:pPr>
          </w:p>
        </w:tc>
        <w:tc>
          <w:tcPr>
            <w:tcW w:w="0" w:type="auto"/>
            <w:vMerge/>
            <w:vAlign w:val="center"/>
          </w:tcPr>
          <w:p w14:paraId="10E9ACB0" w14:textId="77777777" w:rsidR="002B3025" w:rsidRPr="00DF5598" w:rsidRDefault="002B3025" w:rsidP="00B929BB">
            <w:pPr>
              <w:tabs>
                <w:tab w:val="left" w:pos="540"/>
              </w:tabs>
              <w:rPr>
                <w:rFonts w:ascii="Verdana" w:hAnsi="Verdana" w:cs="Arial"/>
                <w:bCs/>
                <w:sz w:val="16"/>
                <w:szCs w:val="16"/>
              </w:rPr>
            </w:pPr>
          </w:p>
        </w:tc>
        <w:tc>
          <w:tcPr>
            <w:tcW w:w="0" w:type="auto"/>
            <w:vMerge w:val="restart"/>
            <w:vAlign w:val="center"/>
          </w:tcPr>
          <w:p w14:paraId="6F9288BE"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7.2</w:t>
            </w:r>
          </w:p>
        </w:tc>
        <w:tc>
          <w:tcPr>
            <w:tcW w:w="0" w:type="auto"/>
            <w:vMerge w:val="restart"/>
            <w:vAlign w:val="center"/>
          </w:tcPr>
          <w:p w14:paraId="6394D2B0" w14:textId="77777777" w:rsidR="002B3025" w:rsidRPr="00DF5598" w:rsidRDefault="002B3025" w:rsidP="00B929BB">
            <w:pPr>
              <w:pStyle w:val="INCISO"/>
              <w:spacing w:after="0" w:line="240" w:lineRule="auto"/>
              <w:ind w:left="0" w:firstLine="0"/>
              <w:rPr>
                <w:rFonts w:ascii="Verdana" w:hAnsi="Verdana"/>
                <w:bCs/>
                <w:sz w:val="16"/>
                <w:szCs w:val="16"/>
              </w:rPr>
            </w:pPr>
            <w:r w:rsidRPr="00DF5598">
              <w:rPr>
                <w:rFonts w:ascii="Verdana" w:hAnsi="Verdana"/>
                <w:bCs/>
                <w:sz w:val="16"/>
                <w:szCs w:val="16"/>
              </w:rPr>
              <w:t>Seguimiento y Presentación de Informes</w:t>
            </w:r>
          </w:p>
        </w:tc>
        <w:tc>
          <w:tcPr>
            <w:tcW w:w="0" w:type="auto"/>
            <w:vAlign w:val="center"/>
          </w:tcPr>
          <w:p w14:paraId="5F6398E8"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7.2.1</w:t>
            </w:r>
          </w:p>
        </w:tc>
        <w:tc>
          <w:tcPr>
            <w:tcW w:w="0" w:type="auto"/>
            <w:vAlign w:val="center"/>
          </w:tcPr>
          <w:p w14:paraId="0AEDD680"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Incumplimiento de la obligación de informar</w:t>
            </w:r>
          </w:p>
        </w:tc>
      </w:tr>
      <w:tr w:rsidR="00FA0D28" w:rsidRPr="002B3025" w14:paraId="25E5D2A7" w14:textId="77777777" w:rsidTr="12B437D6">
        <w:tc>
          <w:tcPr>
            <w:tcW w:w="0" w:type="auto"/>
            <w:vMerge/>
            <w:vAlign w:val="center"/>
          </w:tcPr>
          <w:p w14:paraId="05279FAC" w14:textId="77777777" w:rsidR="002B3025" w:rsidRPr="00DF5598" w:rsidRDefault="002B3025" w:rsidP="00B929BB">
            <w:pPr>
              <w:rPr>
                <w:rFonts w:ascii="Verdana" w:hAnsi="Verdana" w:cs="Arial"/>
                <w:bCs/>
                <w:sz w:val="16"/>
                <w:szCs w:val="16"/>
              </w:rPr>
            </w:pPr>
          </w:p>
        </w:tc>
        <w:tc>
          <w:tcPr>
            <w:tcW w:w="0" w:type="auto"/>
            <w:vMerge/>
            <w:vAlign w:val="center"/>
          </w:tcPr>
          <w:p w14:paraId="5C253338"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1A2ACBDB" w14:textId="77777777" w:rsidR="002B3025" w:rsidRPr="00DF5598" w:rsidRDefault="002B3025" w:rsidP="00B929BB">
            <w:pPr>
              <w:rPr>
                <w:rFonts w:ascii="Verdana" w:hAnsi="Verdana" w:cs="Arial"/>
                <w:bCs/>
                <w:sz w:val="16"/>
                <w:szCs w:val="16"/>
              </w:rPr>
            </w:pPr>
          </w:p>
        </w:tc>
        <w:tc>
          <w:tcPr>
            <w:tcW w:w="0" w:type="auto"/>
            <w:vMerge/>
            <w:vAlign w:val="center"/>
          </w:tcPr>
          <w:p w14:paraId="76DB423C" w14:textId="77777777" w:rsidR="002B3025" w:rsidRPr="00DF5598" w:rsidRDefault="002B3025" w:rsidP="00B929BB">
            <w:pPr>
              <w:jc w:val="both"/>
              <w:rPr>
                <w:rFonts w:ascii="Verdana" w:hAnsi="Verdana" w:cs="Arial"/>
                <w:bCs/>
                <w:sz w:val="16"/>
                <w:szCs w:val="16"/>
              </w:rPr>
            </w:pPr>
          </w:p>
        </w:tc>
        <w:tc>
          <w:tcPr>
            <w:tcW w:w="0" w:type="auto"/>
            <w:vAlign w:val="center"/>
          </w:tcPr>
          <w:p w14:paraId="5488E20B" w14:textId="0E070EDE"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7.2.</w:t>
            </w:r>
            <w:r w:rsidR="003557BE">
              <w:rPr>
                <w:rFonts w:ascii="Verdana" w:hAnsi="Verdana" w:cs="Arial"/>
                <w:bCs/>
                <w:sz w:val="16"/>
                <w:szCs w:val="16"/>
              </w:rPr>
              <w:t>2</w:t>
            </w:r>
          </w:p>
        </w:tc>
        <w:tc>
          <w:tcPr>
            <w:tcW w:w="0" w:type="auto"/>
            <w:vAlign w:val="center"/>
          </w:tcPr>
          <w:p w14:paraId="2254AFB7"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Inexactitud de informes externos</w:t>
            </w:r>
          </w:p>
        </w:tc>
      </w:tr>
      <w:tr w:rsidR="00FA0D28" w:rsidRPr="002B3025" w14:paraId="72F504C1" w14:textId="77777777" w:rsidTr="12B437D6">
        <w:tc>
          <w:tcPr>
            <w:tcW w:w="0" w:type="auto"/>
            <w:vMerge/>
            <w:vAlign w:val="center"/>
          </w:tcPr>
          <w:p w14:paraId="7CCF1BF8" w14:textId="77777777" w:rsidR="002B3025" w:rsidRPr="00DF5598" w:rsidRDefault="002B3025" w:rsidP="00B929BB">
            <w:pPr>
              <w:rPr>
                <w:rFonts w:ascii="Verdana" w:hAnsi="Verdana" w:cs="Arial"/>
                <w:bCs/>
                <w:sz w:val="16"/>
                <w:szCs w:val="16"/>
              </w:rPr>
            </w:pPr>
          </w:p>
        </w:tc>
        <w:tc>
          <w:tcPr>
            <w:tcW w:w="0" w:type="auto"/>
            <w:vMerge/>
            <w:vAlign w:val="center"/>
          </w:tcPr>
          <w:p w14:paraId="3070E7FD" w14:textId="77777777" w:rsidR="002B3025" w:rsidRPr="00DF5598" w:rsidRDefault="002B3025" w:rsidP="00B929BB">
            <w:pPr>
              <w:tabs>
                <w:tab w:val="left" w:pos="540"/>
              </w:tabs>
              <w:rPr>
                <w:rFonts w:ascii="Verdana" w:hAnsi="Verdana" w:cs="Arial"/>
                <w:bCs/>
                <w:sz w:val="16"/>
                <w:szCs w:val="16"/>
              </w:rPr>
            </w:pPr>
          </w:p>
        </w:tc>
        <w:tc>
          <w:tcPr>
            <w:tcW w:w="0" w:type="auto"/>
            <w:vMerge w:val="restart"/>
            <w:vAlign w:val="center"/>
          </w:tcPr>
          <w:p w14:paraId="7680A827"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7.3</w:t>
            </w:r>
          </w:p>
        </w:tc>
        <w:tc>
          <w:tcPr>
            <w:tcW w:w="0" w:type="auto"/>
            <w:vMerge w:val="restart"/>
            <w:vAlign w:val="center"/>
          </w:tcPr>
          <w:p w14:paraId="40BFD8CE" w14:textId="77777777" w:rsidR="002B3025" w:rsidRPr="00DF5598" w:rsidRDefault="002B3025" w:rsidP="00B929BB">
            <w:pPr>
              <w:pStyle w:val="INCISO"/>
              <w:spacing w:after="0" w:line="240" w:lineRule="auto"/>
              <w:ind w:left="0" w:firstLine="0"/>
              <w:rPr>
                <w:rFonts w:ascii="Verdana" w:hAnsi="Verdana"/>
                <w:bCs/>
                <w:sz w:val="16"/>
                <w:szCs w:val="16"/>
              </w:rPr>
            </w:pPr>
            <w:r w:rsidRPr="00DF5598">
              <w:rPr>
                <w:rFonts w:ascii="Verdana" w:hAnsi="Verdana"/>
                <w:bCs/>
                <w:sz w:val="16"/>
                <w:szCs w:val="16"/>
              </w:rPr>
              <w:t>Aceptación de Clientes y Documentación</w:t>
            </w:r>
          </w:p>
        </w:tc>
        <w:tc>
          <w:tcPr>
            <w:tcW w:w="0" w:type="auto"/>
            <w:vAlign w:val="center"/>
          </w:tcPr>
          <w:p w14:paraId="1AED1B66"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7.3.1</w:t>
            </w:r>
          </w:p>
        </w:tc>
        <w:tc>
          <w:tcPr>
            <w:tcW w:w="0" w:type="auto"/>
            <w:vAlign w:val="center"/>
          </w:tcPr>
          <w:p w14:paraId="1540D340"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Inexistencia de autorizaciones / rechazos de clientes</w:t>
            </w:r>
          </w:p>
        </w:tc>
      </w:tr>
      <w:tr w:rsidR="00FA0D28" w:rsidRPr="002B3025" w14:paraId="7F2DFA21" w14:textId="77777777" w:rsidTr="12B437D6">
        <w:tc>
          <w:tcPr>
            <w:tcW w:w="0" w:type="auto"/>
            <w:vMerge/>
            <w:vAlign w:val="center"/>
          </w:tcPr>
          <w:p w14:paraId="3CC45D65" w14:textId="77777777" w:rsidR="002B3025" w:rsidRPr="00DF5598" w:rsidRDefault="002B3025" w:rsidP="00B929BB">
            <w:pPr>
              <w:rPr>
                <w:rFonts w:ascii="Verdana" w:hAnsi="Verdana" w:cs="Arial"/>
                <w:bCs/>
                <w:sz w:val="16"/>
                <w:szCs w:val="16"/>
              </w:rPr>
            </w:pPr>
          </w:p>
        </w:tc>
        <w:tc>
          <w:tcPr>
            <w:tcW w:w="0" w:type="auto"/>
            <w:vMerge/>
            <w:vAlign w:val="center"/>
          </w:tcPr>
          <w:p w14:paraId="543FBA24"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2BD4D7BD" w14:textId="77777777" w:rsidR="002B3025" w:rsidRPr="00DF5598" w:rsidRDefault="002B3025" w:rsidP="00B929BB">
            <w:pPr>
              <w:rPr>
                <w:rFonts w:ascii="Verdana" w:hAnsi="Verdana" w:cs="Arial"/>
                <w:bCs/>
                <w:sz w:val="16"/>
                <w:szCs w:val="16"/>
              </w:rPr>
            </w:pPr>
          </w:p>
        </w:tc>
        <w:tc>
          <w:tcPr>
            <w:tcW w:w="0" w:type="auto"/>
            <w:vMerge/>
            <w:vAlign w:val="center"/>
          </w:tcPr>
          <w:p w14:paraId="1F652D47" w14:textId="77777777" w:rsidR="002B3025" w:rsidRPr="00DF5598" w:rsidRDefault="002B3025" w:rsidP="00B929BB">
            <w:pPr>
              <w:jc w:val="both"/>
              <w:rPr>
                <w:rFonts w:ascii="Verdana" w:hAnsi="Verdana" w:cs="Arial"/>
                <w:bCs/>
                <w:sz w:val="16"/>
                <w:szCs w:val="16"/>
              </w:rPr>
            </w:pPr>
          </w:p>
        </w:tc>
        <w:tc>
          <w:tcPr>
            <w:tcW w:w="0" w:type="auto"/>
            <w:vAlign w:val="center"/>
          </w:tcPr>
          <w:p w14:paraId="0786B871"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7.3.2</w:t>
            </w:r>
          </w:p>
        </w:tc>
        <w:tc>
          <w:tcPr>
            <w:tcW w:w="0" w:type="auto"/>
            <w:vAlign w:val="center"/>
          </w:tcPr>
          <w:p w14:paraId="565E6AA4"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Contratos, documentos requeridos inexistentes / incompletos</w:t>
            </w:r>
          </w:p>
        </w:tc>
      </w:tr>
      <w:tr w:rsidR="00FA0D28" w:rsidRPr="002B3025" w14:paraId="043EB119" w14:textId="77777777" w:rsidTr="12B437D6">
        <w:tc>
          <w:tcPr>
            <w:tcW w:w="0" w:type="auto"/>
            <w:vMerge/>
            <w:vAlign w:val="center"/>
          </w:tcPr>
          <w:p w14:paraId="21E1BB0D" w14:textId="77777777" w:rsidR="002B3025" w:rsidRPr="00DF5598" w:rsidRDefault="002B3025" w:rsidP="00B929BB">
            <w:pPr>
              <w:rPr>
                <w:rFonts w:ascii="Verdana" w:hAnsi="Verdana" w:cs="Arial"/>
                <w:bCs/>
                <w:sz w:val="16"/>
                <w:szCs w:val="16"/>
              </w:rPr>
            </w:pPr>
          </w:p>
        </w:tc>
        <w:tc>
          <w:tcPr>
            <w:tcW w:w="0" w:type="auto"/>
            <w:vMerge/>
            <w:vAlign w:val="center"/>
          </w:tcPr>
          <w:p w14:paraId="6BD1AD53"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65F32D8E" w14:textId="77777777" w:rsidR="002B3025" w:rsidRPr="00DF5598" w:rsidRDefault="002B3025" w:rsidP="00B929BB">
            <w:pPr>
              <w:rPr>
                <w:rFonts w:ascii="Verdana" w:hAnsi="Verdana" w:cs="Arial"/>
                <w:bCs/>
                <w:sz w:val="16"/>
                <w:szCs w:val="16"/>
              </w:rPr>
            </w:pPr>
          </w:p>
        </w:tc>
        <w:tc>
          <w:tcPr>
            <w:tcW w:w="0" w:type="auto"/>
            <w:vMerge/>
            <w:vAlign w:val="center"/>
          </w:tcPr>
          <w:p w14:paraId="3D2789B6" w14:textId="77777777" w:rsidR="002B3025" w:rsidRPr="00DF5598" w:rsidRDefault="002B3025" w:rsidP="00B929BB">
            <w:pPr>
              <w:jc w:val="both"/>
              <w:rPr>
                <w:rFonts w:ascii="Verdana" w:hAnsi="Verdana" w:cs="Arial"/>
                <w:bCs/>
                <w:sz w:val="16"/>
                <w:szCs w:val="16"/>
              </w:rPr>
            </w:pPr>
          </w:p>
        </w:tc>
        <w:tc>
          <w:tcPr>
            <w:tcW w:w="0" w:type="auto"/>
            <w:vAlign w:val="center"/>
          </w:tcPr>
          <w:p w14:paraId="30DADEE3"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7.3.3</w:t>
            </w:r>
          </w:p>
        </w:tc>
        <w:tc>
          <w:tcPr>
            <w:tcW w:w="0" w:type="auto"/>
            <w:vAlign w:val="center"/>
          </w:tcPr>
          <w:p w14:paraId="57A58726"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Errores en los contratos (diseño deficiente, errores tipográficos, cláusulas erróneas y/o abusivas o prácticas restrictivas)</w:t>
            </w:r>
          </w:p>
        </w:tc>
      </w:tr>
      <w:tr w:rsidR="00FA0D28" w:rsidRPr="002B3025" w14:paraId="50EE9489" w14:textId="77777777" w:rsidTr="12B437D6">
        <w:tc>
          <w:tcPr>
            <w:tcW w:w="0" w:type="auto"/>
            <w:vMerge/>
            <w:vAlign w:val="center"/>
          </w:tcPr>
          <w:p w14:paraId="741CBBF5" w14:textId="77777777" w:rsidR="002B3025" w:rsidRPr="00DF5598" w:rsidRDefault="002B3025" w:rsidP="00B929BB">
            <w:pPr>
              <w:rPr>
                <w:rFonts w:ascii="Verdana" w:hAnsi="Verdana" w:cs="Arial"/>
                <w:bCs/>
                <w:sz w:val="16"/>
                <w:szCs w:val="16"/>
              </w:rPr>
            </w:pPr>
          </w:p>
        </w:tc>
        <w:tc>
          <w:tcPr>
            <w:tcW w:w="0" w:type="auto"/>
            <w:vMerge/>
            <w:vAlign w:val="center"/>
          </w:tcPr>
          <w:p w14:paraId="0D63A8D5" w14:textId="77777777" w:rsidR="002B3025" w:rsidRPr="00DF5598" w:rsidRDefault="002B3025" w:rsidP="00B929BB">
            <w:pPr>
              <w:tabs>
                <w:tab w:val="left" w:pos="540"/>
              </w:tabs>
              <w:rPr>
                <w:rFonts w:ascii="Verdana" w:hAnsi="Verdana" w:cs="Arial"/>
                <w:bCs/>
                <w:sz w:val="16"/>
                <w:szCs w:val="16"/>
              </w:rPr>
            </w:pPr>
          </w:p>
        </w:tc>
        <w:tc>
          <w:tcPr>
            <w:tcW w:w="0" w:type="auto"/>
            <w:vMerge w:val="restart"/>
            <w:vAlign w:val="center"/>
          </w:tcPr>
          <w:p w14:paraId="4350AC8D"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7.4</w:t>
            </w:r>
          </w:p>
        </w:tc>
        <w:tc>
          <w:tcPr>
            <w:tcW w:w="0" w:type="auto"/>
            <w:vMerge w:val="restart"/>
            <w:vAlign w:val="center"/>
          </w:tcPr>
          <w:p w14:paraId="08F86768" w14:textId="77777777" w:rsidR="002B3025" w:rsidRPr="00DF5598" w:rsidRDefault="002B3025" w:rsidP="00B929BB">
            <w:pPr>
              <w:pStyle w:val="Texto"/>
              <w:spacing w:after="0" w:line="240" w:lineRule="auto"/>
              <w:ind w:firstLine="0"/>
              <w:rPr>
                <w:rFonts w:ascii="Verdana" w:hAnsi="Verdana"/>
                <w:bCs/>
                <w:sz w:val="16"/>
                <w:szCs w:val="16"/>
              </w:rPr>
            </w:pPr>
            <w:r w:rsidRPr="00DF5598">
              <w:rPr>
                <w:rFonts w:ascii="Verdana" w:hAnsi="Verdana"/>
                <w:bCs/>
                <w:sz w:val="16"/>
                <w:szCs w:val="16"/>
              </w:rPr>
              <w:t>Gestión de Cuentas de Clientes</w:t>
            </w:r>
          </w:p>
        </w:tc>
        <w:tc>
          <w:tcPr>
            <w:tcW w:w="0" w:type="auto"/>
            <w:vAlign w:val="center"/>
          </w:tcPr>
          <w:p w14:paraId="3CA3AD84"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7.4.1</w:t>
            </w:r>
          </w:p>
        </w:tc>
        <w:tc>
          <w:tcPr>
            <w:tcW w:w="0" w:type="auto"/>
            <w:vAlign w:val="center"/>
          </w:tcPr>
          <w:p w14:paraId="6E446549"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Registros incorrectos de clientes</w:t>
            </w:r>
          </w:p>
        </w:tc>
      </w:tr>
      <w:tr w:rsidR="00FA0D28" w:rsidRPr="002B3025" w14:paraId="6907E8C9" w14:textId="77777777" w:rsidTr="12B437D6">
        <w:tc>
          <w:tcPr>
            <w:tcW w:w="0" w:type="auto"/>
            <w:vMerge/>
            <w:vAlign w:val="center"/>
          </w:tcPr>
          <w:p w14:paraId="6BC51EB6" w14:textId="77777777" w:rsidR="002B3025" w:rsidRPr="00DF5598" w:rsidRDefault="002B3025" w:rsidP="00B929BB">
            <w:pPr>
              <w:rPr>
                <w:rFonts w:ascii="Verdana" w:hAnsi="Verdana" w:cs="Arial"/>
                <w:bCs/>
                <w:sz w:val="16"/>
                <w:szCs w:val="16"/>
              </w:rPr>
            </w:pPr>
          </w:p>
        </w:tc>
        <w:tc>
          <w:tcPr>
            <w:tcW w:w="0" w:type="auto"/>
            <w:vMerge/>
            <w:vAlign w:val="center"/>
          </w:tcPr>
          <w:p w14:paraId="04382F3F"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7A793290" w14:textId="77777777" w:rsidR="002B3025" w:rsidRPr="00DF5598" w:rsidRDefault="002B3025" w:rsidP="00B929BB">
            <w:pPr>
              <w:rPr>
                <w:rFonts w:ascii="Verdana" w:hAnsi="Verdana" w:cs="Arial"/>
                <w:bCs/>
                <w:sz w:val="16"/>
                <w:szCs w:val="16"/>
              </w:rPr>
            </w:pPr>
          </w:p>
        </w:tc>
        <w:tc>
          <w:tcPr>
            <w:tcW w:w="0" w:type="auto"/>
            <w:vMerge/>
            <w:vAlign w:val="center"/>
          </w:tcPr>
          <w:p w14:paraId="1695C4BD" w14:textId="77777777" w:rsidR="002B3025" w:rsidRPr="00DF5598" w:rsidRDefault="002B3025" w:rsidP="00B929BB">
            <w:pPr>
              <w:jc w:val="both"/>
              <w:rPr>
                <w:rFonts w:ascii="Verdana" w:hAnsi="Verdana" w:cs="Arial"/>
                <w:bCs/>
                <w:sz w:val="16"/>
                <w:szCs w:val="16"/>
              </w:rPr>
            </w:pPr>
          </w:p>
        </w:tc>
        <w:tc>
          <w:tcPr>
            <w:tcW w:w="0" w:type="auto"/>
            <w:vAlign w:val="center"/>
          </w:tcPr>
          <w:p w14:paraId="0AA9350B"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7.4.2</w:t>
            </w:r>
          </w:p>
        </w:tc>
        <w:tc>
          <w:tcPr>
            <w:tcW w:w="0" w:type="auto"/>
            <w:vAlign w:val="center"/>
          </w:tcPr>
          <w:p w14:paraId="1864AB2F"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Pérdida o daño de activos de clientes</w:t>
            </w:r>
          </w:p>
        </w:tc>
      </w:tr>
      <w:tr w:rsidR="00FA0D28" w:rsidRPr="002B3025" w14:paraId="424406CF" w14:textId="77777777" w:rsidTr="12B437D6">
        <w:tc>
          <w:tcPr>
            <w:tcW w:w="0" w:type="auto"/>
            <w:vMerge/>
            <w:vAlign w:val="center"/>
          </w:tcPr>
          <w:p w14:paraId="6F7A687E" w14:textId="77777777" w:rsidR="002B3025" w:rsidRPr="00DF5598" w:rsidRDefault="002B3025" w:rsidP="00B929BB">
            <w:pPr>
              <w:rPr>
                <w:rFonts w:ascii="Verdana" w:hAnsi="Verdana" w:cs="Arial"/>
                <w:bCs/>
                <w:sz w:val="16"/>
                <w:szCs w:val="16"/>
              </w:rPr>
            </w:pPr>
          </w:p>
        </w:tc>
        <w:tc>
          <w:tcPr>
            <w:tcW w:w="0" w:type="auto"/>
            <w:vMerge/>
            <w:vAlign w:val="center"/>
          </w:tcPr>
          <w:p w14:paraId="4607A52E" w14:textId="77777777" w:rsidR="002B3025" w:rsidRPr="00DF5598" w:rsidRDefault="002B3025" w:rsidP="00B929BB">
            <w:pPr>
              <w:tabs>
                <w:tab w:val="left" w:pos="540"/>
              </w:tabs>
              <w:rPr>
                <w:rFonts w:ascii="Verdana" w:hAnsi="Verdana" w:cs="Arial"/>
                <w:bCs/>
                <w:sz w:val="16"/>
                <w:szCs w:val="16"/>
              </w:rPr>
            </w:pPr>
          </w:p>
        </w:tc>
        <w:tc>
          <w:tcPr>
            <w:tcW w:w="0" w:type="auto"/>
            <w:vAlign w:val="center"/>
          </w:tcPr>
          <w:p w14:paraId="2E58B5D8"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7.5</w:t>
            </w:r>
          </w:p>
        </w:tc>
        <w:tc>
          <w:tcPr>
            <w:tcW w:w="0" w:type="auto"/>
            <w:vAlign w:val="center"/>
          </w:tcPr>
          <w:p w14:paraId="1C44FB09" w14:textId="77777777" w:rsidR="002B3025" w:rsidRPr="00DF5598" w:rsidRDefault="002B3025" w:rsidP="00B929BB">
            <w:pPr>
              <w:pStyle w:val="INCISO"/>
              <w:spacing w:after="0" w:line="240" w:lineRule="auto"/>
              <w:ind w:left="0" w:firstLine="0"/>
              <w:jc w:val="left"/>
              <w:rPr>
                <w:rFonts w:ascii="Verdana" w:hAnsi="Verdana"/>
                <w:bCs/>
                <w:sz w:val="16"/>
                <w:szCs w:val="16"/>
              </w:rPr>
            </w:pPr>
            <w:r w:rsidRPr="00DF5598">
              <w:rPr>
                <w:rFonts w:ascii="Verdana" w:hAnsi="Verdana"/>
                <w:bCs/>
                <w:sz w:val="16"/>
                <w:szCs w:val="16"/>
              </w:rPr>
              <w:t>Incumplimiento de la regulación vigente</w:t>
            </w:r>
          </w:p>
        </w:tc>
        <w:tc>
          <w:tcPr>
            <w:tcW w:w="0" w:type="auto"/>
            <w:vAlign w:val="center"/>
          </w:tcPr>
          <w:p w14:paraId="1D5F3A66"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7.5.1</w:t>
            </w:r>
          </w:p>
        </w:tc>
        <w:tc>
          <w:tcPr>
            <w:tcW w:w="0" w:type="auto"/>
            <w:vAlign w:val="center"/>
          </w:tcPr>
          <w:p w14:paraId="69502262"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De la normativa vigente y aplicable</w:t>
            </w:r>
          </w:p>
        </w:tc>
      </w:tr>
      <w:tr w:rsidR="00FA0D28" w:rsidRPr="002B3025" w14:paraId="450916B1" w14:textId="77777777" w:rsidTr="12B437D6">
        <w:tc>
          <w:tcPr>
            <w:tcW w:w="0" w:type="auto"/>
            <w:vMerge/>
            <w:vAlign w:val="center"/>
          </w:tcPr>
          <w:p w14:paraId="46C5FAAE" w14:textId="77777777" w:rsidR="002B3025" w:rsidRPr="00DF5598" w:rsidRDefault="002B3025" w:rsidP="00B929BB">
            <w:pPr>
              <w:rPr>
                <w:rFonts w:ascii="Verdana" w:hAnsi="Verdana" w:cs="Arial"/>
                <w:bCs/>
                <w:sz w:val="16"/>
                <w:szCs w:val="16"/>
              </w:rPr>
            </w:pPr>
          </w:p>
        </w:tc>
        <w:tc>
          <w:tcPr>
            <w:tcW w:w="0" w:type="auto"/>
            <w:vMerge/>
            <w:vAlign w:val="center"/>
          </w:tcPr>
          <w:p w14:paraId="342EC9FE" w14:textId="77777777" w:rsidR="002B3025" w:rsidRPr="00DF5598" w:rsidRDefault="002B3025" w:rsidP="00B929BB">
            <w:pPr>
              <w:tabs>
                <w:tab w:val="left" w:pos="540"/>
              </w:tabs>
              <w:rPr>
                <w:rFonts w:ascii="Verdana" w:hAnsi="Verdana" w:cs="Arial"/>
                <w:bCs/>
                <w:sz w:val="16"/>
                <w:szCs w:val="16"/>
              </w:rPr>
            </w:pPr>
          </w:p>
        </w:tc>
        <w:tc>
          <w:tcPr>
            <w:tcW w:w="0" w:type="auto"/>
            <w:vMerge w:val="restart"/>
            <w:vAlign w:val="center"/>
          </w:tcPr>
          <w:p w14:paraId="0207D484"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7.6</w:t>
            </w:r>
          </w:p>
        </w:tc>
        <w:tc>
          <w:tcPr>
            <w:tcW w:w="0" w:type="auto"/>
            <w:vMerge w:val="restart"/>
            <w:vAlign w:val="center"/>
          </w:tcPr>
          <w:p w14:paraId="01708B1F" w14:textId="77777777" w:rsidR="002B3025" w:rsidRPr="00DF5598" w:rsidRDefault="002B3025" w:rsidP="00B929BB">
            <w:pPr>
              <w:pStyle w:val="INCISO"/>
              <w:spacing w:after="0" w:line="240" w:lineRule="auto"/>
              <w:ind w:left="0" w:firstLine="0"/>
              <w:rPr>
                <w:rFonts w:ascii="Verdana" w:hAnsi="Verdana"/>
                <w:bCs/>
                <w:sz w:val="16"/>
                <w:szCs w:val="16"/>
              </w:rPr>
            </w:pPr>
            <w:r w:rsidRPr="00DF5598">
              <w:rPr>
                <w:rFonts w:ascii="Verdana" w:hAnsi="Verdana"/>
                <w:bCs/>
                <w:sz w:val="16"/>
                <w:szCs w:val="16"/>
              </w:rPr>
              <w:t>Acuerdos y Convenios Comerciales</w:t>
            </w:r>
          </w:p>
          <w:p w14:paraId="5595DC76" w14:textId="77777777" w:rsidR="002B3025" w:rsidRPr="00DF5598" w:rsidRDefault="002B3025" w:rsidP="00B929BB">
            <w:pPr>
              <w:jc w:val="both"/>
              <w:rPr>
                <w:rFonts w:ascii="Verdana" w:hAnsi="Verdana" w:cs="Arial"/>
                <w:bCs/>
                <w:sz w:val="16"/>
                <w:szCs w:val="16"/>
              </w:rPr>
            </w:pPr>
          </w:p>
        </w:tc>
        <w:tc>
          <w:tcPr>
            <w:tcW w:w="0" w:type="auto"/>
            <w:vAlign w:val="center"/>
          </w:tcPr>
          <w:p w14:paraId="71376E2E"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7.6.1</w:t>
            </w:r>
          </w:p>
        </w:tc>
        <w:tc>
          <w:tcPr>
            <w:tcW w:w="0" w:type="auto"/>
            <w:vAlign w:val="center"/>
          </w:tcPr>
          <w:p w14:paraId="768AC734"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Fallos derivados de acuerdos y convenios comerciales distintos de clientes</w:t>
            </w:r>
          </w:p>
        </w:tc>
      </w:tr>
      <w:tr w:rsidR="00FA0D28" w:rsidRPr="002B3025" w14:paraId="09156CCA" w14:textId="77777777" w:rsidTr="12B437D6">
        <w:tc>
          <w:tcPr>
            <w:tcW w:w="0" w:type="auto"/>
            <w:vMerge/>
            <w:vAlign w:val="center"/>
          </w:tcPr>
          <w:p w14:paraId="08B8676F" w14:textId="77777777" w:rsidR="002B3025" w:rsidRPr="00DF5598" w:rsidRDefault="002B3025" w:rsidP="00B929BB">
            <w:pPr>
              <w:rPr>
                <w:rFonts w:ascii="Verdana" w:hAnsi="Verdana" w:cs="Arial"/>
                <w:bCs/>
                <w:sz w:val="16"/>
                <w:szCs w:val="16"/>
              </w:rPr>
            </w:pPr>
          </w:p>
        </w:tc>
        <w:tc>
          <w:tcPr>
            <w:tcW w:w="0" w:type="auto"/>
            <w:vMerge/>
            <w:vAlign w:val="center"/>
          </w:tcPr>
          <w:p w14:paraId="2564CCB7"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270E5595" w14:textId="77777777" w:rsidR="002B3025" w:rsidRPr="00DF5598" w:rsidRDefault="002B3025" w:rsidP="00B929BB">
            <w:pPr>
              <w:rPr>
                <w:rFonts w:ascii="Verdana" w:hAnsi="Verdana" w:cs="Arial"/>
                <w:bCs/>
                <w:sz w:val="16"/>
                <w:szCs w:val="16"/>
              </w:rPr>
            </w:pPr>
          </w:p>
        </w:tc>
        <w:tc>
          <w:tcPr>
            <w:tcW w:w="0" w:type="auto"/>
            <w:vMerge/>
            <w:vAlign w:val="center"/>
          </w:tcPr>
          <w:p w14:paraId="6BF60B72" w14:textId="77777777" w:rsidR="002B3025" w:rsidRPr="00DF5598" w:rsidRDefault="002B3025" w:rsidP="00B929BB">
            <w:pPr>
              <w:jc w:val="both"/>
              <w:rPr>
                <w:rFonts w:ascii="Verdana" w:hAnsi="Verdana" w:cs="Arial"/>
                <w:bCs/>
                <w:sz w:val="16"/>
                <w:szCs w:val="16"/>
              </w:rPr>
            </w:pPr>
          </w:p>
        </w:tc>
        <w:tc>
          <w:tcPr>
            <w:tcW w:w="0" w:type="auto"/>
            <w:vAlign w:val="center"/>
          </w:tcPr>
          <w:p w14:paraId="5921F7D8"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7.6.2</w:t>
            </w:r>
          </w:p>
        </w:tc>
        <w:tc>
          <w:tcPr>
            <w:tcW w:w="0" w:type="auto"/>
            <w:vAlign w:val="center"/>
          </w:tcPr>
          <w:p w14:paraId="072DF4CF"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Litigios derivados de convenios y acuerdos comerciales con contrapartes distintas de clientes</w:t>
            </w:r>
          </w:p>
        </w:tc>
      </w:tr>
      <w:tr w:rsidR="00FA0D28" w:rsidRPr="002B3025" w14:paraId="228138D9" w14:textId="77777777" w:rsidTr="12B437D6">
        <w:tc>
          <w:tcPr>
            <w:tcW w:w="0" w:type="auto"/>
            <w:vMerge/>
            <w:vAlign w:val="center"/>
          </w:tcPr>
          <w:p w14:paraId="15FB2EB8" w14:textId="77777777" w:rsidR="002B3025" w:rsidRPr="00DF5598" w:rsidRDefault="002B3025" w:rsidP="00B929BB">
            <w:pPr>
              <w:rPr>
                <w:rFonts w:ascii="Verdana" w:hAnsi="Verdana" w:cs="Arial"/>
                <w:bCs/>
                <w:sz w:val="16"/>
                <w:szCs w:val="16"/>
              </w:rPr>
            </w:pPr>
          </w:p>
        </w:tc>
        <w:tc>
          <w:tcPr>
            <w:tcW w:w="0" w:type="auto"/>
            <w:vMerge/>
            <w:vAlign w:val="center"/>
          </w:tcPr>
          <w:p w14:paraId="603BF832"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77AD8E92" w14:textId="77777777" w:rsidR="002B3025" w:rsidRPr="00DF5598" w:rsidRDefault="002B3025" w:rsidP="00B929BB">
            <w:pPr>
              <w:rPr>
                <w:rFonts w:ascii="Verdana" w:hAnsi="Verdana" w:cs="Arial"/>
                <w:bCs/>
                <w:sz w:val="16"/>
                <w:szCs w:val="16"/>
              </w:rPr>
            </w:pPr>
          </w:p>
        </w:tc>
        <w:tc>
          <w:tcPr>
            <w:tcW w:w="0" w:type="auto"/>
            <w:vMerge/>
            <w:vAlign w:val="center"/>
          </w:tcPr>
          <w:p w14:paraId="58437345" w14:textId="77777777" w:rsidR="002B3025" w:rsidRPr="00DF5598" w:rsidRDefault="002B3025" w:rsidP="00B929BB">
            <w:pPr>
              <w:jc w:val="both"/>
              <w:rPr>
                <w:rFonts w:ascii="Verdana" w:hAnsi="Verdana" w:cs="Arial"/>
                <w:bCs/>
                <w:sz w:val="16"/>
                <w:szCs w:val="16"/>
              </w:rPr>
            </w:pPr>
          </w:p>
        </w:tc>
        <w:tc>
          <w:tcPr>
            <w:tcW w:w="0" w:type="auto"/>
            <w:vAlign w:val="center"/>
          </w:tcPr>
          <w:p w14:paraId="2EA9FE33"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7.6.3</w:t>
            </w:r>
          </w:p>
        </w:tc>
        <w:tc>
          <w:tcPr>
            <w:tcW w:w="0" w:type="auto"/>
            <w:vAlign w:val="center"/>
          </w:tcPr>
          <w:p w14:paraId="4A89C617"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Errores en los contratos (diseño deficiente, errores tipográficos, cláusulas erróneas o ilegales)</w:t>
            </w:r>
          </w:p>
        </w:tc>
      </w:tr>
      <w:tr w:rsidR="00FA0D28" w:rsidRPr="002B3025" w14:paraId="4A86143F" w14:textId="77777777" w:rsidTr="12B437D6">
        <w:tc>
          <w:tcPr>
            <w:tcW w:w="0" w:type="auto"/>
            <w:vMerge/>
            <w:vAlign w:val="center"/>
          </w:tcPr>
          <w:p w14:paraId="526EA42A" w14:textId="77777777" w:rsidR="002B3025" w:rsidRPr="00DF5598" w:rsidRDefault="002B3025" w:rsidP="00B929BB">
            <w:pPr>
              <w:rPr>
                <w:rFonts w:ascii="Verdana" w:hAnsi="Verdana" w:cs="Arial"/>
                <w:bCs/>
                <w:sz w:val="16"/>
                <w:szCs w:val="16"/>
              </w:rPr>
            </w:pPr>
          </w:p>
        </w:tc>
        <w:tc>
          <w:tcPr>
            <w:tcW w:w="0" w:type="auto"/>
            <w:vMerge/>
            <w:vAlign w:val="center"/>
          </w:tcPr>
          <w:p w14:paraId="799CB619" w14:textId="77777777" w:rsidR="002B3025" w:rsidRPr="00DF5598" w:rsidRDefault="002B3025" w:rsidP="00B929BB">
            <w:pPr>
              <w:tabs>
                <w:tab w:val="left" w:pos="540"/>
              </w:tabs>
              <w:rPr>
                <w:rFonts w:ascii="Verdana" w:hAnsi="Verdana" w:cs="Arial"/>
                <w:bCs/>
                <w:sz w:val="16"/>
                <w:szCs w:val="16"/>
              </w:rPr>
            </w:pPr>
          </w:p>
        </w:tc>
        <w:tc>
          <w:tcPr>
            <w:tcW w:w="0" w:type="auto"/>
            <w:vMerge w:val="restart"/>
            <w:vAlign w:val="center"/>
          </w:tcPr>
          <w:p w14:paraId="0C02CAEE"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7.7</w:t>
            </w:r>
          </w:p>
        </w:tc>
        <w:tc>
          <w:tcPr>
            <w:tcW w:w="0" w:type="auto"/>
            <w:vMerge w:val="restart"/>
            <w:vAlign w:val="center"/>
          </w:tcPr>
          <w:p w14:paraId="622FCB06" w14:textId="77777777" w:rsidR="002B3025" w:rsidRPr="00DF5598" w:rsidRDefault="002B3025" w:rsidP="00B929BB">
            <w:pPr>
              <w:pStyle w:val="INCISO"/>
              <w:spacing w:after="0" w:line="240" w:lineRule="auto"/>
              <w:ind w:left="0" w:firstLine="0"/>
              <w:rPr>
                <w:rFonts w:ascii="Verdana" w:hAnsi="Verdana"/>
                <w:bCs/>
                <w:sz w:val="16"/>
                <w:szCs w:val="16"/>
              </w:rPr>
            </w:pPr>
            <w:r w:rsidRPr="00DF5598">
              <w:rPr>
                <w:rFonts w:ascii="Verdana" w:hAnsi="Verdana"/>
                <w:bCs/>
                <w:sz w:val="16"/>
                <w:szCs w:val="16"/>
              </w:rPr>
              <w:t>Proveedores</w:t>
            </w:r>
          </w:p>
          <w:p w14:paraId="5E8C98B8" w14:textId="77777777" w:rsidR="002B3025" w:rsidRPr="00DF5598" w:rsidRDefault="002B3025" w:rsidP="00B929BB">
            <w:pPr>
              <w:jc w:val="both"/>
              <w:rPr>
                <w:rFonts w:ascii="Verdana" w:hAnsi="Verdana" w:cs="Arial"/>
                <w:bCs/>
                <w:sz w:val="16"/>
                <w:szCs w:val="16"/>
              </w:rPr>
            </w:pPr>
          </w:p>
        </w:tc>
        <w:tc>
          <w:tcPr>
            <w:tcW w:w="0" w:type="auto"/>
            <w:vAlign w:val="center"/>
          </w:tcPr>
          <w:p w14:paraId="52CBA821"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7.7.1</w:t>
            </w:r>
          </w:p>
        </w:tc>
        <w:tc>
          <w:tcPr>
            <w:tcW w:w="0" w:type="auto"/>
            <w:vAlign w:val="center"/>
          </w:tcPr>
          <w:p w14:paraId="69FDD94B"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Fallos derivados en la contratación</w:t>
            </w:r>
          </w:p>
        </w:tc>
      </w:tr>
      <w:tr w:rsidR="00FA0D28" w:rsidRPr="002B3025" w14:paraId="72DFCDE2" w14:textId="77777777" w:rsidTr="12B437D6">
        <w:tc>
          <w:tcPr>
            <w:tcW w:w="0" w:type="auto"/>
            <w:vMerge/>
            <w:vAlign w:val="center"/>
          </w:tcPr>
          <w:p w14:paraId="14C39459" w14:textId="77777777" w:rsidR="002B3025" w:rsidRPr="00DF5598" w:rsidRDefault="002B3025" w:rsidP="00B929BB">
            <w:pPr>
              <w:rPr>
                <w:rFonts w:ascii="Verdana" w:hAnsi="Verdana" w:cs="Arial"/>
                <w:bCs/>
                <w:sz w:val="16"/>
                <w:szCs w:val="16"/>
              </w:rPr>
            </w:pPr>
          </w:p>
        </w:tc>
        <w:tc>
          <w:tcPr>
            <w:tcW w:w="0" w:type="auto"/>
            <w:vMerge/>
            <w:vAlign w:val="center"/>
          </w:tcPr>
          <w:p w14:paraId="2E1EDD8B"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7125F4B6" w14:textId="77777777" w:rsidR="002B3025" w:rsidRPr="00DF5598" w:rsidRDefault="002B3025" w:rsidP="00B929BB">
            <w:pPr>
              <w:rPr>
                <w:rFonts w:ascii="Verdana" w:hAnsi="Verdana" w:cs="Arial"/>
                <w:bCs/>
                <w:sz w:val="16"/>
                <w:szCs w:val="16"/>
              </w:rPr>
            </w:pPr>
          </w:p>
        </w:tc>
        <w:tc>
          <w:tcPr>
            <w:tcW w:w="0" w:type="auto"/>
            <w:vMerge/>
            <w:vAlign w:val="center"/>
          </w:tcPr>
          <w:p w14:paraId="5829D470" w14:textId="77777777" w:rsidR="002B3025" w:rsidRPr="00DF5598" w:rsidRDefault="002B3025" w:rsidP="00B929BB">
            <w:pPr>
              <w:jc w:val="both"/>
              <w:rPr>
                <w:rFonts w:ascii="Verdana" w:hAnsi="Verdana" w:cs="Arial"/>
                <w:bCs/>
                <w:sz w:val="16"/>
                <w:szCs w:val="16"/>
              </w:rPr>
            </w:pPr>
          </w:p>
        </w:tc>
        <w:tc>
          <w:tcPr>
            <w:tcW w:w="0" w:type="auto"/>
            <w:vAlign w:val="center"/>
          </w:tcPr>
          <w:p w14:paraId="57C7C34C"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7.7.2</w:t>
            </w:r>
          </w:p>
        </w:tc>
        <w:tc>
          <w:tcPr>
            <w:tcW w:w="0" w:type="auto"/>
            <w:vAlign w:val="center"/>
          </w:tcPr>
          <w:p w14:paraId="259C290E"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Litigios con proveedores</w:t>
            </w:r>
          </w:p>
        </w:tc>
      </w:tr>
      <w:tr w:rsidR="00FA0D28" w:rsidRPr="002B3025" w14:paraId="7B3A8326" w14:textId="77777777" w:rsidTr="12B437D6">
        <w:tc>
          <w:tcPr>
            <w:tcW w:w="0" w:type="auto"/>
            <w:vMerge/>
            <w:vAlign w:val="center"/>
          </w:tcPr>
          <w:p w14:paraId="0EEA421A" w14:textId="77777777" w:rsidR="002B3025" w:rsidRPr="00DF5598" w:rsidRDefault="002B3025" w:rsidP="00B929BB">
            <w:pPr>
              <w:rPr>
                <w:rFonts w:ascii="Verdana" w:hAnsi="Verdana" w:cs="Arial"/>
                <w:bCs/>
                <w:sz w:val="16"/>
                <w:szCs w:val="16"/>
              </w:rPr>
            </w:pPr>
          </w:p>
        </w:tc>
        <w:tc>
          <w:tcPr>
            <w:tcW w:w="0" w:type="auto"/>
            <w:vMerge/>
            <w:vAlign w:val="center"/>
          </w:tcPr>
          <w:p w14:paraId="4BF6A19B" w14:textId="77777777" w:rsidR="002B3025" w:rsidRPr="00DF5598" w:rsidRDefault="002B3025" w:rsidP="00B929BB">
            <w:pPr>
              <w:tabs>
                <w:tab w:val="left" w:pos="540"/>
              </w:tabs>
              <w:rPr>
                <w:rFonts w:ascii="Verdana" w:hAnsi="Verdana" w:cs="Arial"/>
                <w:bCs/>
                <w:sz w:val="16"/>
                <w:szCs w:val="16"/>
              </w:rPr>
            </w:pPr>
          </w:p>
        </w:tc>
        <w:tc>
          <w:tcPr>
            <w:tcW w:w="0" w:type="auto"/>
            <w:vMerge/>
            <w:vAlign w:val="center"/>
          </w:tcPr>
          <w:p w14:paraId="4FA2A00F" w14:textId="77777777" w:rsidR="002B3025" w:rsidRPr="00DF5598" w:rsidRDefault="002B3025" w:rsidP="00B929BB">
            <w:pPr>
              <w:rPr>
                <w:rFonts w:ascii="Verdana" w:hAnsi="Verdana" w:cs="Arial"/>
                <w:bCs/>
                <w:sz w:val="16"/>
                <w:szCs w:val="16"/>
              </w:rPr>
            </w:pPr>
          </w:p>
        </w:tc>
        <w:tc>
          <w:tcPr>
            <w:tcW w:w="0" w:type="auto"/>
            <w:vMerge/>
            <w:vAlign w:val="center"/>
          </w:tcPr>
          <w:p w14:paraId="2CE336BE" w14:textId="77777777" w:rsidR="002B3025" w:rsidRPr="00DF5598" w:rsidRDefault="002B3025" w:rsidP="00B929BB">
            <w:pPr>
              <w:jc w:val="both"/>
              <w:rPr>
                <w:rFonts w:ascii="Verdana" w:hAnsi="Verdana" w:cs="Arial"/>
                <w:bCs/>
                <w:sz w:val="16"/>
                <w:szCs w:val="16"/>
              </w:rPr>
            </w:pPr>
          </w:p>
        </w:tc>
        <w:tc>
          <w:tcPr>
            <w:tcW w:w="0" w:type="auto"/>
            <w:vAlign w:val="center"/>
          </w:tcPr>
          <w:p w14:paraId="23B7E1F4"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7.7.3</w:t>
            </w:r>
          </w:p>
        </w:tc>
        <w:tc>
          <w:tcPr>
            <w:tcW w:w="0" w:type="auto"/>
            <w:vAlign w:val="center"/>
          </w:tcPr>
          <w:p w14:paraId="606419B1" w14:textId="77777777" w:rsidR="002B3025" w:rsidRPr="00DF5598" w:rsidRDefault="002B3025" w:rsidP="00B929BB">
            <w:pPr>
              <w:pStyle w:val="Texto"/>
              <w:tabs>
                <w:tab w:val="left" w:pos="540"/>
              </w:tabs>
              <w:spacing w:after="0" w:line="240" w:lineRule="auto"/>
              <w:ind w:firstLine="0"/>
              <w:rPr>
                <w:rFonts w:ascii="Verdana" w:hAnsi="Verdana"/>
                <w:bCs/>
                <w:sz w:val="16"/>
                <w:szCs w:val="16"/>
              </w:rPr>
            </w:pPr>
            <w:r w:rsidRPr="00DF5598">
              <w:rPr>
                <w:rFonts w:ascii="Verdana" w:hAnsi="Verdana"/>
                <w:bCs/>
                <w:sz w:val="16"/>
                <w:szCs w:val="16"/>
              </w:rPr>
              <w:t>Errores en los contratos (diseño deficiente, errores tipográficos, cláusulas erróneas)</w:t>
            </w:r>
          </w:p>
        </w:tc>
      </w:tr>
      <w:tr w:rsidR="00FA0D28" w:rsidRPr="002B3025" w14:paraId="72BB78E2" w14:textId="77777777" w:rsidTr="12B437D6">
        <w:tc>
          <w:tcPr>
            <w:tcW w:w="0" w:type="auto"/>
            <w:vMerge/>
            <w:vAlign w:val="center"/>
          </w:tcPr>
          <w:p w14:paraId="0EC63F92" w14:textId="77777777" w:rsidR="002B3025" w:rsidRPr="00DF5598" w:rsidRDefault="002B3025" w:rsidP="00B929BB">
            <w:pPr>
              <w:rPr>
                <w:rFonts w:ascii="Verdana" w:hAnsi="Verdana" w:cs="Arial"/>
                <w:bCs/>
                <w:sz w:val="16"/>
                <w:szCs w:val="16"/>
              </w:rPr>
            </w:pPr>
          </w:p>
        </w:tc>
        <w:tc>
          <w:tcPr>
            <w:tcW w:w="0" w:type="auto"/>
            <w:vMerge/>
            <w:vAlign w:val="center"/>
          </w:tcPr>
          <w:p w14:paraId="668173C4" w14:textId="77777777" w:rsidR="002B3025" w:rsidRPr="00DF5598" w:rsidRDefault="002B3025" w:rsidP="00B929BB">
            <w:pPr>
              <w:tabs>
                <w:tab w:val="left" w:pos="540"/>
              </w:tabs>
              <w:rPr>
                <w:rFonts w:ascii="Verdana" w:hAnsi="Verdana" w:cs="Arial"/>
                <w:bCs/>
                <w:sz w:val="16"/>
                <w:szCs w:val="16"/>
              </w:rPr>
            </w:pPr>
          </w:p>
        </w:tc>
        <w:tc>
          <w:tcPr>
            <w:tcW w:w="0" w:type="auto"/>
            <w:vAlign w:val="center"/>
          </w:tcPr>
          <w:p w14:paraId="0F431B18" w14:textId="77777777" w:rsidR="002B3025" w:rsidRPr="00DF5598" w:rsidRDefault="002B3025" w:rsidP="00B929BB">
            <w:pPr>
              <w:rPr>
                <w:rFonts w:ascii="Verdana" w:hAnsi="Verdana" w:cs="Arial"/>
                <w:bCs/>
                <w:sz w:val="16"/>
                <w:szCs w:val="16"/>
              </w:rPr>
            </w:pPr>
            <w:r w:rsidRPr="00DF5598">
              <w:rPr>
                <w:rFonts w:ascii="Verdana" w:hAnsi="Verdana" w:cs="Arial"/>
                <w:bCs/>
                <w:sz w:val="16"/>
                <w:szCs w:val="16"/>
              </w:rPr>
              <w:t>7.8</w:t>
            </w:r>
          </w:p>
        </w:tc>
        <w:tc>
          <w:tcPr>
            <w:tcW w:w="0" w:type="auto"/>
            <w:vAlign w:val="center"/>
          </w:tcPr>
          <w:p w14:paraId="1C7328FC"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Otros</w:t>
            </w:r>
          </w:p>
        </w:tc>
        <w:tc>
          <w:tcPr>
            <w:tcW w:w="0" w:type="auto"/>
            <w:vAlign w:val="center"/>
          </w:tcPr>
          <w:p w14:paraId="08F8070B" w14:textId="77777777" w:rsidR="002B3025" w:rsidRPr="00DF5598" w:rsidRDefault="002B3025" w:rsidP="00B929BB">
            <w:pPr>
              <w:jc w:val="center"/>
              <w:rPr>
                <w:rFonts w:ascii="Verdana" w:hAnsi="Verdana" w:cs="Arial"/>
                <w:bCs/>
                <w:sz w:val="16"/>
                <w:szCs w:val="16"/>
              </w:rPr>
            </w:pPr>
            <w:r w:rsidRPr="00DF5598">
              <w:rPr>
                <w:rFonts w:ascii="Verdana" w:hAnsi="Verdana" w:cs="Arial"/>
                <w:bCs/>
                <w:sz w:val="16"/>
                <w:szCs w:val="16"/>
              </w:rPr>
              <w:t>7.8.1</w:t>
            </w:r>
          </w:p>
        </w:tc>
        <w:tc>
          <w:tcPr>
            <w:tcW w:w="0" w:type="auto"/>
            <w:vAlign w:val="center"/>
          </w:tcPr>
          <w:p w14:paraId="2E32ED04" w14:textId="77777777" w:rsidR="002B3025" w:rsidRPr="00DF5598" w:rsidRDefault="002B3025" w:rsidP="00B929BB">
            <w:pPr>
              <w:jc w:val="both"/>
              <w:rPr>
                <w:rFonts w:ascii="Verdana" w:hAnsi="Verdana" w:cs="Arial"/>
                <w:bCs/>
                <w:sz w:val="16"/>
                <w:szCs w:val="16"/>
              </w:rPr>
            </w:pPr>
            <w:r w:rsidRPr="00DF5598">
              <w:rPr>
                <w:rFonts w:ascii="Verdana" w:hAnsi="Verdana" w:cs="Arial"/>
                <w:bCs/>
                <w:sz w:val="16"/>
                <w:szCs w:val="16"/>
              </w:rPr>
              <w:t>La entidad debe especificar a qué hace referencia</w:t>
            </w:r>
          </w:p>
        </w:tc>
      </w:tr>
    </w:tbl>
    <w:p w14:paraId="1D196C6A" w14:textId="77777777" w:rsidR="002B3025" w:rsidRPr="002B3025" w:rsidRDefault="002B3025" w:rsidP="00B929BB">
      <w:pPr>
        <w:pStyle w:val="Textoindependiente"/>
        <w:rPr>
          <w:rFonts w:ascii="Verdana" w:hAnsi="Verdana" w:cs="Arial"/>
          <w:bCs/>
          <w:sz w:val="20"/>
        </w:rPr>
      </w:pPr>
    </w:p>
    <w:p w14:paraId="69104C6B" w14:textId="1CB64553" w:rsidR="002B3025" w:rsidRDefault="002B3025" w:rsidP="00FC4030">
      <w:pPr>
        <w:pStyle w:val="Textoindependiente"/>
        <w:rPr>
          <w:rFonts w:ascii="Verdana" w:hAnsi="Verdana" w:cs="Arial"/>
          <w:b/>
          <w:sz w:val="20"/>
        </w:rPr>
      </w:pPr>
      <w:r w:rsidRPr="00521C1C">
        <w:rPr>
          <w:rFonts w:ascii="Verdana" w:hAnsi="Verdana" w:cs="Arial"/>
          <w:b/>
          <w:sz w:val="20"/>
        </w:rPr>
        <w:t>Revelación contable</w:t>
      </w:r>
    </w:p>
    <w:p w14:paraId="49FB02D1" w14:textId="77777777" w:rsidR="00FC4030" w:rsidRPr="00FC4030" w:rsidRDefault="00FC4030" w:rsidP="00FC4030">
      <w:pPr>
        <w:pStyle w:val="Textoindependiente"/>
        <w:rPr>
          <w:rFonts w:ascii="Verdana" w:hAnsi="Verdana" w:cs="Arial"/>
          <w:b/>
          <w:sz w:val="20"/>
        </w:rPr>
      </w:pPr>
    </w:p>
    <w:p w14:paraId="76F2AA9F" w14:textId="792ED8C6" w:rsidR="00521C1C" w:rsidRPr="001C6CAB" w:rsidRDefault="00521C1C" w:rsidP="00521C1C">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B73C9A">
        <w:rPr>
          <w:rFonts w:ascii="Verdana" w:hAnsi="Verdana"/>
          <w:sz w:val="20"/>
          <w:szCs w:val="20"/>
        </w:rPr>
        <w:t>4</w:t>
      </w:r>
      <w:r w:rsidR="00B42F68">
        <w:rPr>
          <w:rFonts w:ascii="Verdana" w:hAnsi="Verdana"/>
          <w:sz w:val="20"/>
          <w:szCs w:val="20"/>
        </w:rPr>
        <w:t>8</w:t>
      </w:r>
      <w:r w:rsidRPr="001C6CAB">
        <w:rPr>
          <w:rFonts w:ascii="Verdana" w:hAnsi="Verdana"/>
          <w:sz w:val="20"/>
          <w:szCs w:val="20"/>
        </w:rPr>
        <w:t>.</w:t>
      </w:r>
    </w:p>
    <w:p w14:paraId="31508A66" w14:textId="0D4EAAC8" w:rsidR="002B3025" w:rsidRPr="002B3025" w:rsidRDefault="002B3025" w:rsidP="12B437D6">
      <w:pPr>
        <w:tabs>
          <w:tab w:val="left" w:pos="540"/>
        </w:tabs>
        <w:jc w:val="both"/>
        <w:rPr>
          <w:rFonts w:ascii="Verdana" w:hAnsi="Verdana" w:cs="Arial"/>
          <w:sz w:val="20"/>
          <w:szCs w:val="20"/>
        </w:rPr>
      </w:pPr>
      <w:r w:rsidRPr="12B437D6">
        <w:rPr>
          <w:rFonts w:ascii="Verdana" w:hAnsi="Verdana" w:cs="Arial"/>
          <w:sz w:val="20"/>
          <w:szCs w:val="20"/>
        </w:rPr>
        <w:t xml:space="preserve">Sin perjuicio de las demás exigencias en materia de revelación contable, cuando las pérdidas ocasionadas por la ocurrencia de un evento de riesgo operacional afecten el estado de resultados, deben registrarse en cuentas de gastos </w:t>
      </w:r>
      <w:r w:rsidR="00954407">
        <w:rPr>
          <w:rFonts w:ascii="Verdana" w:hAnsi="Verdana" w:cs="Arial"/>
          <w:sz w:val="20"/>
          <w:szCs w:val="20"/>
        </w:rPr>
        <w:t xml:space="preserve">por </w:t>
      </w:r>
      <w:r w:rsidR="00A17CF4">
        <w:rPr>
          <w:rFonts w:ascii="Verdana" w:hAnsi="Verdana" w:cs="Arial"/>
          <w:sz w:val="20"/>
          <w:szCs w:val="20"/>
        </w:rPr>
        <w:t xml:space="preserve">riesgo operacional, cuando corresponda, </w:t>
      </w:r>
      <w:r w:rsidRPr="12B437D6">
        <w:rPr>
          <w:rFonts w:ascii="Verdana" w:hAnsi="Verdana" w:cs="Arial"/>
          <w:sz w:val="20"/>
          <w:szCs w:val="20"/>
        </w:rPr>
        <w:t>en el período en el que se materializ</w:t>
      </w:r>
      <w:r w:rsidR="008C4D9D">
        <w:rPr>
          <w:rFonts w:ascii="Verdana" w:hAnsi="Verdana" w:cs="Arial"/>
          <w:sz w:val="20"/>
          <w:szCs w:val="20"/>
        </w:rPr>
        <w:t>ó</w:t>
      </w:r>
      <w:r w:rsidRPr="12B437D6">
        <w:rPr>
          <w:rFonts w:ascii="Verdana" w:hAnsi="Verdana" w:cs="Arial"/>
          <w:sz w:val="20"/>
          <w:szCs w:val="20"/>
        </w:rPr>
        <w:t xml:space="preserve"> la pérdida.</w:t>
      </w:r>
    </w:p>
    <w:p w14:paraId="28CFB13B" w14:textId="335132FA" w:rsidR="00521C1C" w:rsidRPr="001C6CAB" w:rsidRDefault="00521C1C" w:rsidP="00521C1C">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B73C9A">
        <w:rPr>
          <w:rFonts w:ascii="Verdana" w:hAnsi="Verdana"/>
          <w:sz w:val="20"/>
          <w:szCs w:val="20"/>
        </w:rPr>
        <w:t>4</w:t>
      </w:r>
      <w:r w:rsidR="00B42F68">
        <w:rPr>
          <w:rFonts w:ascii="Verdana" w:hAnsi="Verdana"/>
          <w:sz w:val="20"/>
          <w:szCs w:val="20"/>
        </w:rPr>
        <w:t>9</w:t>
      </w:r>
      <w:r w:rsidRPr="001C6CAB">
        <w:rPr>
          <w:rFonts w:ascii="Verdana" w:hAnsi="Verdana"/>
          <w:sz w:val="20"/>
          <w:szCs w:val="20"/>
        </w:rPr>
        <w:t>.</w:t>
      </w:r>
    </w:p>
    <w:p w14:paraId="4646EEB7" w14:textId="4D630EE9" w:rsidR="002B3025" w:rsidRPr="002B3025" w:rsidRDefault="002B3025" w:rsidP="00B929BB">
      <w:pPr>
        <w:tabs>
          <w:tab w:val="left" w:pos="540"/>
        </w:tabs>
        <w:jc w:val="both"/>
        <w:rPr>
          <w:rFonts w:ascii="Verdana" w:hAnsi="Verdana" w:cs="Arial"/>
          <w:bCs/>
          <w:sz w:val="20"/>
          <w:szCs w:val="20"/>
        </w:rPr>
      </w:pPr>
      <w:r w:rsidRPr="002B3025">
        <w:rPr>
          <w:rFonts w:ascii="Verdana" w:hAnsi="Verdana" w:cs="Arial"/>
          <w:bCs/>
          <w:sz w:val="20"/>
          <w:szCs w:val="20"/>
        </w:rPr>
        <w:t xml:space="preserve">Las recuperaciones por concepto de riesgo operacional, cuando afecten el estado de resultados, deben registrarse en cuentas de ingreso en el periodo en el que se haga efectiva la recuperación. En todo caso, estas recuperaciones </w:t>
      </w:r>
      <w:r w:rsidR="00804BCC">
        <w:rPr>
          <w:rFonts w:ascii="Verdana" w:hAnsi="Verdana" w:cs="Arial"/>
          <w:bCs/>
          <w:sz w:val="20"/>
          <w:szCs w:val="20"/>
        </w:rPr>
        <w:t xml:space="preserve">se </w:t>
      </w:r>
      <w:r w:rsidRPr="002B3025">
        <w:rPr>
          <w:rFonts w:ascii="Verdana" w:hAnsi="Verdana" w:cs="Arial"/>
          <w:bCs/>
          <w:sz w:val="20"/>
          <w:szCs w:val="20"/>
        </w:rPr>
        <w:t>p</w:t>
      </w:r>
      <w:r w:rsidR="00804BCC">
        <w:rPr>
          <w:rFonts w:ascii="Verdana" w:hAnsi="Verdana" w:cs="Arial"/>
          <w:bCs/>
          <w:sz w:val="20"/>
          <w:szCs w:val="20"/>
        </w:rPr>
        <w:t xml:space="preserve">ueden </w:t>
      </w:r>
      <w:r w:rsidRPr="002B3025">
        <w:rPr>
          <w:rFonts w:ascii="Verdana" w:hAnsi="Verdana" w:cs="Arial"/>
          <w:bCs/>
          <w:sz w:val="20"/>
          <w:szCs w:val="20"/>
        </w:rPr>
        <w:t>reconocer</w:t>
      </w:r>
      <w:r w:rsidRPr="002B3025" w:rsidDel="00804BCC">
        <w:rPr>
          <w:rFonts w:ascii="Verdana" w:hAnsi="Verdana" w:cs="Arial"/>
          <w:bCs/>
          <w:sz w:val="20"/>
          <w:szCs w:val="20"/>
        </w:rPr>
        <w:t xml:space="preserve"> </w:t>
      </w:r>
      <w:r w:rsidRPr="002B3025">
        <w:rPr>
          <w:rFonts w:ascii="Verdana" w:hAnsi="Verdana" w:cs="Arial"/>
          <w:bCs/>
          <w:sz w:val="20"/>
          <w:szCs w:val="20"/>
        </w:rPr>
        <w:t>como un menor valor del respectivo gasto, solo después de que la entidad reciba el pago efectivo correspondiente a la recuperación</w:t>
      </w:r>
      <w:r w:rsidR="0011438B">
        <w:rPr>
          <w:rFonts w:ascii="Verdana" w:hAnsi="Verdana" w:cs="Arial"/>
          <w:bCs/>
          <w:sz w:val="20"/>
          <w:szCs w:val="20"/>
        </w:rPr>
        <w:t>,</w:t>
      </w:r>
      <w:r w:rsidR="0091595B">
        <w:rPr>
          <w:rFonts w:ascii="Verdana" w:hAnsi="Verdana" w:cs="Arial"/>
          <w:bCs/>
          <w:sz w:val="20"/>
          <w:szCs w:val="20"/>
        </w:rPr>
        <w:t xml:space="preserve"> si la misma se efectúa dentro del per</w:t>
      </w:r>
      <w:r w:rsidR="007E7FF1">
        <w:rPr>
          <w:rFonts w:ascii="Verdana" w:hAnsi="Verdana" w:cs="Arial"/>
          <w:bCs/>
          <w:sz w:val="20"/>
          <w:szCs w:val="20"/>
        </w:rPr>
        <w:t>í</w:t>
      </w:r>
      <w:r w:rsidR="0091595B">
        <w:rPr>
          <w:rFonts w:ascii="Verdana" w:hAnsi="Verdana" w:cs="Arial"/>
          <w:bCs/>
          <w:sz w:val="20"/>
          <w:szCs w:val="20"/>
        </w:rPr>
        <w:t>odo</w:t>
      </w:r>
      <w:r w:rsidRPr="002B3025">
        <w:rPr>
          <w:rFonts w:ascii="Verdana" w:hAnsi="Verdana" w:cs="Arial"/>
          <w:bCs/>
          <w:sz w:val="20"/>
          <w:szCs w:val="20"/>
        </w:rPr>
        <w:t>.</w:t>
      </w:r>
    </w:p>
    <w:p w14:paraId="1804369E" w14:textId="7170B1F4" w:rsidR="00521C1C" w:rsidRPr="001C6CAB" w:rsidRDefault="00521C1C" w:rsidP="00521C1C">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B42F68">
        <w:rPr>
          <w:rFonts w:ascii="Verdana" w:hAnsi="Verdana"/>
          <w:sz w:val="20"/>
          <w:szCs w:val="20"/>
        </w:rPr>
        <w:t>50</w:t>
      </w:r>
      <w:r w:rsidRPr="001C6CAB">
        <w:rPr>
          <w:rFonts w:ascii="Verdana" w:hAnsi="Verdana"/>
          <w:sz w:val="20"/>
          <w:szCs w:val="20"/>
        </w:rPr>
        <w:t>.</w:t>
      </w:r>
    </w:p>
    <w:p w14:paraId="11CD18B9" w14:textId="594E8FCF" w:rsidR="002B3025" w:rsidRPr="002B3025" w:rsidRDefault="002B3025" w:rsidP="00B929BB">
      <w:pPr>
        <w:tabs>
          <w:tab w:val="left" w:pos="540"/>
        </w:tabs>
        <w:jc w:val="both"/>
        <w:rPr>
          <w:rFonts w:ascii="Verdana" w:hAnsi="Verdana" w:cs="Arial"/>
          <w:bCs/>
          <w:sz w:val="20"/>
          <w:szCs w:val="20"/>
        </w:rPr>
      </w:pPr>
      <w:r w:rsidRPr="002B3025">
        <w:rPr>
          <w:rFonts w:ascii="Verdana" w:hAnsi="Verdana" w:cs="Arial"/>
          <w:bCs/>
          <w:sz w:val="20"/>
          <w:szCs w:val="20"/>
        </w:rPr>
        <w:t>Las cuentas de gastos e ingresos requeridas serán definidas por esta Superintendencia en el CUIF.</w:t>
      </w:r>
    </w:p>
    <w:p w14:paraId="01D2F3B6" w14:textId="3637267D" w:rsidR="002B3025" w:rsidRDefault="002B3025" w:rsidP="00FC4030">
      <w:pPr>
        <w:pStyle w:val="Textoindependiente"/>
        <w:rPr>
          <w:rFonts w:ascii="Verdana" w:hAnsi="Verdana" w:cs="Arial"/>
          <w:b/>
          <w:sz w:val="20"/>
        </w:rPr>
      </w:pPr>
      <w:r w:rsidRPr="002E73DD">
        <w:rPr>
          <w:rFonts w:ascii="Verdana" w:hAnsi="Verdana" w:cs="Arial"/>
          <w:b/>
          <w:sz w:val="20"/>
        </w:rPr>
        <w:t>Reportes a la SFC</w:t>
      </w:r>
    </w:p>
    <w:p w14:paraId="440ECDB4" w14:textId="77777777" w:rsidR="00FC4030" w:rsidRPr="00FC4030" w:rsidRDefault="00FC4030" w:rsidP="00FC4030">
      <w:pPr>
        <w:pStyle w:val="Textoindependiente"/>
        <w:rPr>
          <w:rFonts w:ascii="Verdana" w:hAnsi="Verdana" w:cs="Arial"/>
          <w:b/>
          <w:sz w:val="20"/>
          <w:lang w:val="es-MX"/>
        </w:rPr>
      </w:pPr>
    </w:p>
    <w:p w14:paraId="2E96D473" w14:textId="262A4DAB" w:rsidR="002E73DD" w:rsidRPr="001C6CAB" w:rsidRDefault="002E73DD" w:rsidP="002E73DD">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B73C9A">
        <w:rPr>
          <w:rFonts w:ascii="Verdana" w:hAnsi="Verdana"/>
          <w:sz w:val="20"/>
          <w:szCs w:val="20"/>
        </w:rPr>
        <w:t>5</w:t>
      </w:r>
      <w:r w:rsidR="00B42F68">
        <w:rPr>
          <w:rFonts w:ascii="Verdana" w:hAnsi="Verdana"/>
          <w:sz w:val="20"/>
          <w:szCs w:val="20"/>
        </w:rPr>
        <w:t>1</w:t>
      </w:r>
      <w:r w:rsidRPr="001C6CAB">
        <w:rPr>
          <w:rFonts w:ascii="Verdana" w:hAnsi="Verdana"/>
          <w:sz w:val="20"/>
          <w:szCs w:val="20"/>
        </w:rPr>
        <w:t>.</w:t>
      </w:r>
    </w:p>
    <w:p w14:paraId="14DC5042" w14:textId="77777777" w:rsidR="002B3025" w:rsidRPr="002B3025" w:rsidRDefault="002B3025" w:rsidP="00B929BB">
      <w:pPr>
        <w:jc w:val="both"/>
        <w:rPr>
          <w:rFonts w:ascii="Verdana" w:hAnsi="Verdana" w:cs="Arial"/>
          <w:bCs/>
          <w:sz w:val="20"/>
          <w:szCs w:val="20"/>
        </w:rPr>
      </w:pPr>
      <w:r w:rsidRPr="002B3025">
        <w:rPr>
          <w:rFonts w:ascii="Verdana" w:hAnsi="Verdana" w:cs="Arial"/>
          <w:bCs/>
          <w:sz w:val="20"/>
          <w:szCs w:val="20"/>
        </w:rPr>
        <w:t xml:space="preserve">La SFC puede solicitar la información que considere pertinente en relación con la gestión del riesgo operacional. </w:t>
      </w:r>
    </w:p>
    <w:p w14:paraId="62FF9DDD" w14:textId="77777777" w:rsidR="002B3025" w:rsidRPr="002B3025" w:rsidRDefault="002B3025" w:rsidP="00B929BB">
      <w:pPr>
        <w:rPr>
          <w:rFonts w:ascii="Verdana" w:hAnsi="Verdana" w:cs="Arial"/>
          <w:bCs/>
          <w:sz w:val="20"/>
          <w:szCs w:val="20"/>
        </w:rPr>
      </w:pPr>
      <w:r w:rsidRPr="002B3025">
        <w:rPr>
          <w:rFonts w:ascii="Verdana" w:hAnsi="Verdana" w:cs="Arial"/>
          <w:bCs/>
          <w:sz w:val="20"/>
          <w:szCs w:val="20"/>
        </w:rPr>
        <w:br w:type="page"/>
      </w:r>
    </w:p>
    <w:p w14:paraId="62F9313E" w14:textId="1B62174A" w:rsidR="002B3025" w:rsidRDefault="002B3025" w:rsidP="005C3D28">
      <w:pPr>
        <w:tabs>
          <w:tab w:val="left" w:pos="0"/>
        </w:tabs>
        <w:spacing w:after="0" w:line="240" w:lineRule="auto"/>
        <w:jc w:val="both"/>
        <w:rPr>
          <w:rFonts w:ascii="Verdana" w:hAnsi="Verdana" w:cs="Arial"/>
          <w:b/>
          <w:sz w:val="20"/>
          <w:szCs w:val="20"/>
        </w:rPr>
      </w:pPr>
      <w:r w:rsidRPr="002E73DD">
        <w:rPr>
          <w:rFonts w:ascii="Verdana" w:hAnsi="Verdana" w:cs="Arial"/>
          <w:b/>
          <w:sz w:val="20"/>
          <w:szCs w:val="20"/>
        </w:rPr>
        <w:lastRenderedPageBreak/>
        <w:t>MODELO DE RIESGO DE LIQUIDEZ</w:t>
      </w:r>
    </w:p>
    <w:p w14:paraId="0F1EA792" w14:textId="77777777" w:rsidR="005C3D28" w:rsidRPr="005C3D28" w:rsidRDefault="005C3D28" w:rsidP="005C3D28">
      <w:pPr>
        <w:tabs>
          <w:tab w:val="left" w:pos="0"/>
        </w:tabs>
        <w:spacing w:after="0" w:line="240" w:lineRule="auto"/>
        <w:jc w:val="both"/>
        <w:rPr>
          <w:rFonts w:ascii="Verdana" w:hAnsi="Verdana" w:cs="Arial"/>
          <w:b/>
          <w:sz w:val="20"/>
          <w:szCs w:val="20"/>
        </w:rPr>
      </w:pPr>
    </w:p>
    <w:p w14:paraId="0CE30359" w14:textId="77777777" w:rsidR="002B3025" w:rsidRPr="002E73DD" w:rsidRDefault="002B3025" w:rsidP="002E73DD">
      <w:pPr>
        <w:pStyle w:val="Textoindependiente"/>
        <w:rPr>
          <w:rFonts w:ascii="Verdana" w:hAnsi="Verdana" w:cs="Arial"/>
          <w:b/>
          <w:sz w:val="20"/>
        </w:rPr>
      </w:pPr>
      <w:r w:rsidRPr="002E73DD">
        <w:rPr>
          <w:rFonts w:ascii="Verdana" w:hAnsi="Verdana" w:cs="Arial"/>
          <w:b/>
          <w:sz w:val="20"/>
        </w:rPr>
        <w:t>Ámbito de aplicación</w:t>
      </w:r>
    </w:p>
    <w:p w14:paraId="7C042F6A" w14:textId="77777777" w:rsidR="002B3025" w:rsidRPr="002B3025" w:rsidRDefault="002B3025" w:rsidP="00B929BB">
      <w:pPr>
        <w:pStyle w:val="Textoindependiente"/>
        <w:rPr>
          <w:rFonts w:ascii="Verdana" w:hAnsi="Verdana" w:cs="Arial"/>
          <w:bCs/>
          <w:sz w:val="20"/>
        </w:rPr>
      </w:pPr>
    </w:p>
    <w:p w14:paraId="62EABE9B" w14:textId="693F7894" w:rsidR="002E73DD" w:rsidRPr="001C6CAB" w:rsidRDefault="002E73DD" w:rsidP="002E73DD">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F02A2B">
        <w:rPr>
          <w:rFonts w:ascii="Verdana" w:hAnsi="Verdana"/>
          <w:sz w:val="20"/>
          <w:szCs w:val="20"/>
        </w:rPr>
        <w:t>52</w:t>
      </w:r>
      <w:r w:rsidRPr="001C6CAB">
        <w:rPr>
          <w:rFonts w:ascii="Verdana" w:hAnsi="Verdana"/>
          <w:sz w:val="20"/>
          <w:szCs w:val="20"/>
        </w:rPr>
        <w:t>.</w:t>
      </w:r>
    </w:p>
    <w:p w14:paraId="479BFDA7" w14:textId="47D7726B" w:rsidR="002B3025" w:rsidRPr="002B3025" w:rsidRDefault="002B3025" w:rsidP="12B437D6">
      <w:pPr>
        <w:pStyle w:val="Textoindependiente"/>
        <w:rPr>
          <w:rFonts w:ascii="Verdana" w:hAnsi="Verdana" w:cs="Arial"/>
          <w:sz w:val="20"/>
        </w:rPr>
      </w:pPr>
      <w:r w:rsidRPr="12B437D6">
        <w:rPr>
          <w:rFonts w:ascii="Verdana" w:hAnsi="Verdana" w:cs="Arial"/>
          <w:sz w:val="20"/>
        </w:rPr>
        <w:t xml:space="preserve">Los EC, los organismos cooperativos de grado superior, Bancóldex, Findeter y Finagro, las SCBV y las administradoras de FIC abiertos sin pacto de permanencia, además de los modelos internos desarrollados para la gestión del riesgo de liquidez, deben implementar el modelo estándar de medición de riesgo de liquidez correspondiente y cumplir las medidas y límites, de acuerdo con las instrucciones establecidas en la presente </w:t>
      </w:r>
      <w:r w:rsidR="00C77450">
        <w:rPr>
          <w:rFonts w:ascii="Verdana" w:hAnsi="Verdana" w:cs="Arial"/>
          <w:sz w:val="20"/>
        </w:rPr>
        <w:t>sección</w:t>
      </w:r>
      <w:r w:rsidRPr="12B437D6">
        <w:rPr>
          <w:rFonts w:ascii="Verdana" w:hAnsi="Verdana" w:cs="Arial"/>
          <w:sz w:val="20"/>
        </w:rPr>
        <w:t>.</w:t>
      </w:r>
    </w:p>
    <w:p w14:paraId="465ECB28" w14:textId="77777777" w:rsidR="002B3025" w:rsidRPr="002B3025" w:rsidRDefault="002B3025" w:rsidP="00B929BB">
      <w:pPr>
        <w:pStyle w:val="Textoindependiente"/>
        <w:rPr>
          <w:rFonts w:ascii="Verdana" w:hAnsi="Verdana" w:cs="Arial"/>
          <w:bCs/>
          <w:sz w:val="20"/>
        </w:rPr>
      </w:pPr>
    </w:p>
    <w:p w14:paraId="7EEE3B63" w14:textId="5A36EB2D" w:rsidR="002E73DD" w:rsidRPr="001C6CAB" w:rsidRDefault="002E73DD" w:rsidP="002E73DD">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F02A2B">
        <w:rPr>
          <w:rFonts w:ascii="Verdana" w:hAnsi="Verdana"/>
          <w:sz w:val="20"/>
          <w:szCs w:val="20"/>
        </w:rPr>
        <w:t>53</w:t>
      </w:r>
      <w:r w:rsidRPr="001C6CAB">
        <w:rPr>
          <w:rFonts w:ascii="Verdana" w:hAnsi="Verdana"/>
          <w:sz w:val="20"/>
          <w:szCs w:val="20"/>
        </w:rPr>
        <w:t>.</w:t>
      </w:r>
    </w:p>
    <w:p w14:paraId="3DA48F0E" w14:textId="2C92DCF1" w:rsidR="002B3025" w:rsidRPr="002B3025" w:rsidRDefault="002B3025" w:rsidP="12B437D6">
      <w:pPr>
        <w:pStyle w:val="Textoindependiente"/>
        <w:rPr>
          <w:rFonts w:ascii="Verdana" w:hAnsi="Verdana" w:cs="Arial"/>
          <w:sz w:val="20"/>
        </w:rPr>
      </w:pPr>
      <w:r w:rsidRPr="12B437D6">
        <w:rPr>
          <w:rFonts w:ascii="Verdana" w:hAnsi="Verdana" w:cs="Arial"/>
          <w:sz w:val="20"/>
        </w:rPr>
        <w:t xml:space="preserve">Los administradores de FIC cerrados o abiertos con pacto de permanencia deben implementar un modelo </w:t>
      </w:r>
      <w:r w:rsidRPr="004117D0">
        <w:rPr>
          <w:rFonts w:ascii="Verdana" w:hAnsi="Verdana" w:cs="Arial"/>
          <w:sz w:val="20"/>
        </w:rPr>
        <w:t>interno para no objeción, con base en las instrucciones establecidas en la presente</w:t>
      </w:r>
      <w:r w:rsidR="00854FDC" w:rsidRPr="004117D0">
        <w:rPr>
          <w:rFonts w:ascii="Verdana" w:hAnsi="Verdana" w:cs="Arial"/>
          <w:sz w:val="20"/>
        </w:rPr>
        <w:t xml:space="preserve"> sección</w:t>
      </w:r>
      <w:r w:rsidRPr="004117D0">
        <w:rPr>
          <w:rFonts w:ascii="Verdana" w:hAnsi="Verdana" w:cs="Arial"/>
          <w:sz w:val="20"/>
        </w:rPr>
        <w:t xml:space="preserve">, en adición a las señaladas </w:t>
      </w:r>
      <w:r w:rsidR="004117D0" w:rsidRPr="004117D0">
        <w:rPr>
          <w:rFonts w:ascii="Verdana" w:hAnsi="Verdana" w:cs="Arial"/>
          <w:sz w:val="20"/>
        </w:rPr>
        <w:t>en la sección 2 del presente capítulo, en relación con la gestión del riesgo de liquidez</w:t>
      </w:r>
      <w:r w:rsidRPr="004117D0">
        <w:rPr>
          <w:rFonts w:ascii="Verdana" w:hAnsi="Verdana" w:cs="Arial"/>
          <w:sz w:val="20"/>
        </w:rPr>
        <w:t>.</w:t>
      </w:r>
    </w:p>
    <w:p w14:paraId="244C22D3" w14:textId="77777777" w:rsidR="002E73DD" w:rsidRDefault="002E73DD" w:rsidP="002E73DD">
      <w:pPr>
        <w:pStyle w:val="Normal9pt"/>
        <w:rPr>
          <w:rFonts w:ascii="Verdana" w:hAnsi="Verdana"/>
          <w:bCs/>
          <w:sz w:val="20"/>
          <w:szCs w:val="20"/>
          <w:lang w:val="es-CO"/>
        </w:rPr>
      </w:pPr>
    </w:p>
    <w:p w14:paraId="3A299F9A" w14:textId="4C8EFB51" w:rsidR="002B3025" w:rsidRPr="002E73DD" w:rsidRDefault="002B3025" w:rsidP="002E73DD">
      <w:pPr>
        <w:pStyle w:val="Normal9pt"/>
        <w:rPr>
          <w:rFonts w:ascii="Verdana" w:hAnsi="Verdana"/>
          <w:b/>
          <w:sz w:val="20"/>
          <w:szCs w:val="20"/>
          <w:lang w:val="es-CO"/>
        </w:rPr>
      </w:pPr>
      <w:r w:rsidRPr="002E73DD">
        <w:rPr>
          <w:rFonts w:ascii="Verdana" w:hAnsi="Verdana"/>
          <w:b/>
          <w:sz w:val="20"/>
          <w:szCs w:val="20"/>
          <w:lang w:val="es-CO"/>
        </w:rPr>
        <w:t>Metodología de medición</w:t>
      </w:r>
    </w:p>
    <w:p w14:paraId="69DCA219" w14:textId="77777777" w:rsidR="002B3025" w:rsidRPr="002B3025" w:rsidRDefault="002B3025" w:rsidP="00B929BB">
      <w:pPr>
        <w:pStyle w:val="Normal9pt"/>
        <w:rPr>
          <w:rFonts w:ascii="Verdana" w:hAnsi="Verdana"/>
          <w:bCs/>
          <w:sz w:val="20"/>
          <w:szCs w:val="20"/>
          <w:lang w:val="es-CO"/>
        </w:rPr>
      </w:pPr>
    </w:p>
    <w:p w14:paraId="1ABBBF62" w14:textId="0C6721D9" w:rsidR="002E73DD" w:rsidRPr="001C6CAB" w:rsidRDefault="002E73DD" w:rsidP="002E73DD">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F02A2B">
        <w:rPr>
          <w:rFonts w:ascii="Verdana" w:hAnsi="Verdana"/>
          <w:sz w:val="20"/>
          <w:szCs w:val="20"/>
        </w:rPr>
        <w:t>54</w:t>
      </w:r>
      <w:r w:rsidRPr="001C6CAB">
        <w:rPr>
          <w:rFonts w:ascii="Verdana" w:hAnsi="Verdana"/>
          <w:sz w:val="20"/>
          <w:szCs w:val="20"/>
        </w:rPr>
        <w:t>.</w:t>
      </w:r>
    </w:p>
    <w:p w14:paraId="47ADAD1F" w14:textId="47A173B1" w:rsidR="002B3025" w:rsidRPr="007E5CCD" w:rsidRDefault="002B3025" w:rsidP="00B929BB">
      <w:pPr>
        <w:pStyle w:val="Prrafodelista"/>
        <w:ind w:left="0"/>
        <w:jc w:val="both"/>
        <w:rPr>
          <w:rFonts w:ascii="Verdana" w:hAnsi="Verdana" w:cs="Arial"/>
          <w:sz w:val="20"/>
          <w:szCs w:val="20"/>
        </w:rPr>
      </w:pPr>
      <w:r w:rsidRPr="12B437D6">
        <w:rPr>
          <w:rFonts w:ascii="Verdana" w:hAnsi="Verdana" w:cs="Arial"/>
          <w:sz w:val="20"/>
          <w:szCs w:val="20"/>
        </w:rPr>
        <w:t xml:space="preserve">La entidad debe implementar metodologías de medición que se atengan a los criterios establecidos en la presente </w:t>
      </w:r>
      <w:r w:rsidR="00B04B9B">
        <w:rPr>
          <w:rFonts w:ascii="Verdana" w:hAnsi="Verdana" w:cs="Arial"/>
          <w:sz w:val="20"/>
          <w:szCs w:val="20"/>
        </w:rPr>
        <w:t>sección</w:t>
      </w:r>
      <w:r w:rsidRPr="12B437D6">
        <w:rPr>
          <w:rFonts w:ascii="Verdana" w:hAnsi="Verdana" w:cs="Arial"/>
          <w:sz w:val="20"/>
          <w:szCs w:val="20"/>
        </w:rPr>
        <w:t xml:space="preserve">. Los resultados que se obtengan a partir de las instrucciones contenidas en la presente </w:t>
      </w:r>
      <w:r w:rsidR="00B04B9B">
        <w:rPr>
          <w:rFonts w:ascii="Verdana" w:hAnsi="Verdana" w:cs="Arial"/>
          <w:sz w:val="20"/>
          <w:szCs w:val="20"/>
        </w:rPr>
        <w:t>sección</w:t>
      </w:r>
      <w:r w:rsidRPr="12B437D6">
        <w:rPr>
          <w:rFonts w:ascii="Verdana" w:hAnsi="Verdana" w:cs="Arial"/>
          <w:sz w:val="20"/>
          <w:szCs w:val="20"/>
        </w:rPr>
        <w:t xml:space="preserve"> no eximen a la entidad de la obligación de llevar a cabo el proceso adecuado de medición y evaluación de la exposición al riesgo de liquidez, ni constituye una guía para manejar situaciones de estrés o la liquidez diaria. </w:t>
      </w:r>
    </w:p>
    <w:p w14:paraId="6CD74FC8" w14:textId="77777777" w:rsidR="002B3025" w:rsidRPr="002E73DD" w:rsidRDefault="002B3025" w:rsidP="00551D66">
      <w:pPr>
        <w:pStyle w:val="Normal9pt"/>
        <w:numPr>
          <w:ilvl w:val="0"/>
          <w:numId w:val="39"/>
        </w:numPr>
        <w:tabs>
          <w:tab w:val="right" w:pos="540"/>
        </w:tabs>
        <w:ind w:left="284" w:hanging="284"/>
        <w:rPr>
          <w:rFonts w:ascii="Verdana" w:hAnsi="Verdana"/>
          <w:b/>
          <w:sz w:val="20"/>
          <w:szCs w:val="20"/>
        </w:rPr>
      </w:pPr>
      <w:r w:rsidRPr="002E73DD">
        <w:rPr>
          <w:rFonts w:ascii="Verdana" w:hAnsi="Verdana"/>
          <w:b/>
          <w:sz w:val="20"/>
          <w:szCs w:val="20"/>
          <w:lang w:val="es-CO"/>
        </w:rPr>
        <w:t xml:space="preserve">Metodología estándar de medición aplicable a los </w:t>
      </w:r>
      <w:r w:rsidRPr="002E73DD">
        <w:rPr>
          <w:rFonts w:ascii="Verdana" w:hAnsi="Verdana"/>
          <w:b/>
          <w:sz w:val="20"/>
          <w:szCs w:val="20"/>
        </w:rPr>
        <w:t>EC, los organismos cooperativos de grado superior, Bancóldex, Findeter y Finagro</w:t>
      </w:r>
    </w:p>
    <w:p w14:paraId="27002FF5" w14:textId="77777777" w:rsidR="002E73DD" w:rsidRPr="007E5CCD" w:rsidRDefault="002E73DD" w:rsidP="007E5CCD">
      <w:pPr>
        <w:spacing w:after="0" w:line="240" w:lineRule="auto"/>
        <w:jc w:val="both"/>
        <w:outlineLvl w:val="0"/>
        <w:rPr>
          <w:rFonts w:ascii="Verdana" w:hAnsi="Verdana" w:cs="Arial"/>
          <w:bCs/>
          <w:sz w:val="20"/>
          <w:szCs w:val="20"/>
          <w:lang w:val="es-ES_tradnl"/>
        </w:rPr>
      </w:pPr>
    </w:p>
    <w:p w14:paraId="0C7E8282" w14:textId="5748D021" w:rsidR="002E73DD" w:rsidRPr="001C6CAB" w:rsidRDefault="002E73DD" w:rsidP="002E73DD">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854FDC">
        <w:rPr>
          <w:rFonts w:ascii="Verdana" w:hAnsi="Verdana"/>
          <w:sz w:val="20"/>
          <w:szCs w:val="20"/>
        </w:rPr>
        <w:t>55</w:t>
      </w:r>
      <w:r w:rsidRPr="001C6CAB">
        <w:rPr>
          <w:rFonts w:ascii="Verdana" w:hAnsi="Verdana"/>
          <w:sz w:val="20"/>
          <w:szCs w:val="20"/>
        </w:rPr>
        <w:t>.</w:t>
      </w:r>
    </w:p>
    <w:p w14:paraId="33D20180" w14:textId="11FA2261" w:rsidR="002B3025" w:rsidRDefault="00467BA7" w:rsidP="002E73DD">
      <w:pPr>
        <w:spacing w:after="0" w:line="240" w:lineRule="auto"/>
        <w:jc w:val="both"/>
        <w:outlineLvl w:val="0"/>
        <w:rPr>
          <w:rFonts w:ascii="Verdana" w:hAnsi="Verdana" w:cs="Arial"/>
          <w:bCs/>
          <w:sz w:val="20"/>
          <w:szCs w:val="20"/>
          <w:lang w:val="es-ES_tradnl"/>
        </w:rPr>
      </w:pPr>
      <w:r>
        <w:rPr>
          <w:rFonts w:ascii="Verdana" w:hAnsi="Verdana" w:cs="Arial"/>
          <w:bCs/>
          <w:sz w:val="20"/>
          <w:szCs w:val="20"/>
          <w:lang w:val="es-ES_tradnl"/>
        </w:rPr>
        <w:t xml:space="preserve">Las entidades </w:t>
      </w:r>
      <w:r w:rsidR="00BA53F0">
        <w:rPr>
          <w:rFonts w:ascii="Verdana" w:hAnsi="Verdana" w:cs="Arial"/>
          <w:bCs/>
          <w:sz w:val="20"/>
          <w:szCs w:val="20"/>
          <w:lang w:val="es-ES_tradnl"/>
        </w:rPr>
        <w:t>aquí señaladas</w:t>
      </w:r>
      <w:r>
        <w:rPr>
          <w:rFonts w:ascii="Verdana" w:hAnsi="Verdana" w:cs="Arial"/>
          <w:bCs/>
          <w:sz w:val="20"/>
          <w:szCs w:val="20"/>
          <w:lang w:val="es-ES_tradnl"/>
        </w:rPr>
        <w:t xml:space="preserve"> d</w:t>
      </w:r>
      <w:r w:rsidR="002B3025" w:rsidRPr="002E73DD">
        <w:rPr>
          <w:rFonts w:ascii="Verdana" w:hAnsi="Verdana" w:cs="Arial"/>
          <w:bCs/>
          <w:sz w:val="20"/>
          <w:szCs w:val="20"/>
          <w:lang w:val="es-ES_tradnl"/>
        </w:rPr>
        <w:t>ebe</w:t>
      </w:r>
      <w:r>
        <w:rPr>
          <w:rFonts w:ascii="Verdana" w:hAnsi="Verdana" w:cs="Arial"/>
          <w:bCs/>
          <w:sz w:val="20"/>
          <w:szCs w:val="20"/>
          <w:lang w:val="es-ES_tradnl"/>
        </w:rPr>
        <w:t>n</w:t>
      </w:r>
      <w:r w:rsidR="002B3025" w:rsidRPr="002E73DD">
        <w:rPr>
          <w:rFonts w:ascii="Verdana" w:hAnsi="Verdana" w:cs="Arial"/>
          <w:bCs/>
          <w:sz w:val="20"/>
          <w:szCs w:val="20"/>
          <w:lang w:val="es-ES_tradnl"/>
        </w:rPr>
        <w:t xml:space="preserve"> implementar el modelo estándar para realizar la medición semanal y mensual del indicador de Riesgo de Liquidez (IRL) de </w:t>
      </w:r>
      <w:r w:rsidR="002B3025" w:rsidRPr="004117D0">
        <w:rPr>
          <w:rFonts w:ascii="Verdana" w:hAnsi="Verdana" w:cs="Arial"/>
          <w:bCs/>
          <w:sz w:val="20"/>
          <w:szCs w:val="20"/>
          <w:lang w:val="es-ES_tradnl"/>
        </w:rPr>
        <w:t xml:space="preserve">acuerdo con las instrucciones establecidas en el </w:t>
      </w:r>
      <w:r w:rsidR="004117D0" w:rsidRPr="004117D0">
        <w:rPr>
          <w:rFonts w:ascii="Verdana" w:hAnsi="Verdana" w:cs="Arial"/>
          <w:bCs/>
          <w:sz w:val="20"/>
          <w:szCs w:val="20"/>
          <w:lang w:val="es-ES_tradnl"/>
        </w:rPr>
        <w:t>a</w:t>
      </w:r>
      <w:r w:rsidR="002B3025" w:rsidRPr="004117D0">
        <w:rPr>
          <w:rFonts w:ascii="Verdana" w:hAnsi="Verdana" w:cs="Arial"/>
          <w:bCs/>
          <w:sz w:val="20"/>
          <w:szCs w:val="20"/>
          <w:lang w:val="es-ES_tradnl"/>
        </w:rPr>
        <w:t>nexo 9</w:t>
      </w:r>
      <w:r w:rsidR="004117D0" w:rsidRPr="004117D0">
        <w:rPr>
          <w:rFonts w:ascii="Verdana" w:hAnsi="Verdana" w:cs="Arial"/>
          <w:bCs/>
          <w:sz w:val="20"/>
          <w:szCs w:val="20"/>
          <w:lang w:val="es-ES_tradnl"/>
        </w:rPr>
        <w:t xml:space="preserve"> del presente capítulo.</w:t>
      </w:r>
    </w:p>
    <w:p w14:paraId="1BD39664" w14:textId="77777777" w:rsidR="002E73DD" w:rsidRPr="002E73DD" w:rsidRDefault="002E73DD" w:rsidP="002E73DD">
      <w:pPr>
        <w:spacing w:after="0" w:line="240" w:lineRule="auto"/>
        <w:jc w:val="both"/>
        <w:outlineLvl w:val="0"/>
        <w:rPr>
          <w:rFonts w:ascii="Verdana" w:hAnsi="Verdana" w:cs="Arial"/>
          <w:bCs/>
          <w:sz w:val="20"/>
          <w:szCs w:val="20"/>
          <w:lang w:val="es-ES_tradnl"/>
        </w:rPr>
      </w:pPr>
    </w:p>
    <w:p w14:paraId="1F3D3E97" w14:textId="105D8322" w:rsidR="002E73DD" w:rsidRPr="001C6CAB" w:rsidRDefault="002E73DD" w:rsidP="002E73DD">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854FDC">
        <w:rPr>
          <w:rFonts w:ascii="Verdana" w:hAnsi="Verdana"/>
          <w:sz w:val="20"/>
          <w:szCs w:val="20"/>
        </w:rPr>
        <w:t>56</w:t>
      </w:r>
      <w:r w:rsidRPr="001C6CAB">
        <w:rPr>
          <w:rFonts w:ascii="Verdana" w:hAnsi="Verdana"/>
          <w:sz w:val="20"/>
          <w:szCs w:val="20"/>
        </w:rPr>
        <w:t>.</w:t>
      </w:r>
    </w:p>
    <w:p w14:paraId="600CEAA9" w14:textId="569D7813" w:rsidR="002B3025" w:rsidRDefault="002B3025" w:rsidP="007E5CCD">
      <w:pPr>
        <w:spacing w:after="0" w:line="240" w:lineRule="auto"/>
        <w:jc w:val="both"/>
        <w:outlineLvl w:val="0"/>
        <w:rPr>
          <w:rFonts w:ascii="Verdana" w:hAnsi="Verdana" w:cs="Arial"/>
          <w:bCs/>
          <w:sz w:val="20"/>
          <w:szCs w:val="20"/>
          <w:lang w:val="es-ES_tradnl"/>
        </w:rPr>
      </w:pPr>
      <w:r w:rsidRPr="002E73DD">
        <w:rPr>
          <w:rFonts w:ascii="Verdana" w:hAnsi="Verdana" w:cs="Arial"/>
          <w:bCs/>
          <w:sz w:val="20"/>
          <w:szCs w:val="20"/>
          <w:lang w:val="es-ES_tradnl"/>
        </w:rPr>
        <w:t xml:space="preserve">Deben reportar los resultados de la medición del indicador en los formatos establecidos en el </w:t>
      </w:r>
      <w:r w:rsidR="004117D0">
        <w:rPr>
          <w:rFonts w:ascii="Verdana" w:hAnsi="Verdana" w:cs="Arial"/>
          <w:bCs/>
          <w:sz w:val="20"/>
          <w:szCs w:val="20"/>
          <w:lang w:val="es-ES_tradnl"/>
        </w:rPr>
        <w:t>a</w:t>
      </w:r>
      <w:r w:rsidRPr="002E73DD">
        <w:rPr>
          <w:rFonts w:ascii="Verdana" w:hAnsi="Verdana" w:cs="Arial"/>
          <w:bCs/>
          <w:sz w:val="20"/>
          <w:szCs w:val="20"/>
          <w:lang w:val="es-ES_tradnl"/>
        </w:rPr>
        <w:t>nexo 9</w:t>
      </w:r>
      <w:r w:rsidR="004117D0">
        <w:rPr>
          <w:rFonts w:ascii="Verdana" w:hAnsi="Verdana" w:cs="Arial"/>
          <w:bCs/>
          <w:sz w:val="20"/>
          <w:szCs w:val="20"/>
          <w:lang w:val="es-ES_tradnl"/>
        </w:rPr>
        <w:t xml:space="preserve"> del presente capítulo</w:t>
      </w:r>
      <w:r w:rsidRPr="002E73DD">
        <w:rPr>
          <w:rFonts w:ascii="Verdana" w:hAnsi="Verdana" w:cs="Arial"/>
          <w:bCs/>
          <w:sz w:val="20"/>
          <w:szCs w:val="20"/>
          <w:lang w:val="es-ES_tradnl"/>
        </w:rPr>
        <w:t xml:space="preserve"> y cumplir los límites y </w:t>
      </w:r>
      <w:r w:rsidRPr="00B906B9">
        <w:rPr>
          <w:rFonts w:ascii="Verdana" w:hAnsi="Verdana" w:cs="Arial"/>
          <w:bCs/>
          <w:sz w:val="20"/>
          <w:szCs w:val="20"/>
          <w:lang w:val="es-ES_tradnl"/>
        </w:rPr>
        <w:t xml:space="preserve">medidas establecidas en </w:t>
      </w:r>
      <w:r w:rsidR="00B906B9" w:rsidRPr="00B906B9">
        <w:rPr>
          <w:rFonts w:ascii="Verdana" w:hAnsi="Verdana" w:cs="Arial"/>
          <w:bCs/>
          <w:sz w:val="20"/>
          <w:szCs w:val="20"/>
          <w:lang w:val="es-ES_tradnl"/>
        </w:rPr>
        <w:t>la</w:t>
      </w:r>
      <w:r w:rsidR="00B906B9">
        <w:rPr>
          <w:rFonts w:ascii="Verdana" w:hAnsi="Verdana" w:cs="Arial"/>
          <w:bCs/>
          <w:sz w:val="20"/>
          <w:szCs w:val="20"/>
          <w:lang w:val="es-ES_tradnl"/>
        </w:rPr>
        <w:t xml:space="preserve"> presente sección. </w:t>
      </w:r>
    </w:p>
    <w:p w14:paraId="5C91ED6C" w14:textId="77777777" w:rsidR="007E5CCD" w:rsidRPr="007E5CCD" w:rsidRDefault="007E5CCD" w:rsidP="007E5CCD">
      <w:pPr>
        <w:spacing w:after="0" w:line="240" w:lineRule="auto"/>
        <w:jc w:val="both"/>
        <w:outlineLvl w:val="0"/>
        <w:rPr>
          <w:rFonts w:ascii="Verdana" w:hAnsi="Verdana" w:cs="Arial"/>
          <w:bCs/>
          <w:sz w:val="20"/>
          <w:szCs w:val="20"/>
          <w:lang w:val="es-ES_tradnl"/>
        </w:rPr>
      </w:pPr>
    </w:p>
    <w:p w14:paraId="67D07AC0" w14:textId="0BD255BA" w:rsidR="00B06130" w:rsidRPr="001C6CAB" w:rsidRDefault="00B06130" w:rsidP="00B06130">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854FDC">
        <w:rPr>
          <w:rFonts w:ascii="Verdana" w:hAnsi="Verdana"/>
          <w:sz w:val="20"/>
          <w:szCs w:val="20"/>
        </w:rPr>
        <w:t>57</w:t>
      </w:r>
      <w:r w:rsidRPr="001C6CAB">
        <w:rPr>
          <w:rFonts w:ascii="Verdana" w:hAnsi="Verdana"/>
          <w:sz w:val="20"/>
          <w:szCs w:val="20"/>
        </w:rPr>
        <w:t>.</w:t>
      </w:r>
    </w:p>
    <w:p w14:paraId="7AE10EE0" w14:textId="4174D27F" w:rsidR="00B06130" w:rsidRPr="007E5CCD" w:rsidRDefault="002B3025" w:rsidP="00B929BB">
      <w:pPr>
        <w:jc w:val="both"/>
        <w:rPr>
          <w:rFonts w:ascii="Verdana" w:eastAsia="Arial" w:hAnsi="Verdana" w:cs="Arial"/>
          <w:sz w:val="20"/>
          <w:szCs w:val="20"/>
          <w:lang w:val="es-ES"/>
        </w:rPr>
      </w:pPr>
      <w:r w:rsidRPr="60169A51">
        <w:rPr>
          <w:rFonts w:ascii="Verdana" w:eastAsia="Arial" w:hAnsi="Verdana" w:cs="Arial"/>
          <w:sz w:val="20"/>
          <w:szCs w:val="20"/>
          <w:lang w:val="es-ES"/>
        </w:rPr>
        <w:t>Adicionalmente, los EC, los organismos cooperativos de grado superior y las IOE aquí mencionadas, deben medir la estabilidad de su fondeo en relación con la composición de su activo y de las posiciones fuera de balance, en un horizonte de un año. En todo momento, las entidades deben contar con fuentes de fondeo suficientemente estables para que incluso en situaciones de estrés, puedan contar con recursos o colaterales suficientes para continuar con el normal desarrollo de su negocio y hacer los pagos a sus clientes y contrapartes de manera oportuna.</w:t>
      </w:r>
    </w:p>
    <w:p w14:paraId="3DFCC89B" w14:textId="590A7E27" w:rsidR="00B06130" w:rsidRPr="001C6CAB" w:rsidRDefault="00B06130" w:rsidP="00B06130">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854FDC">
        <w:rPr>
          <w:rFonts w:ascii="Verdana" w:hAnsi="Verdana"/>
          <w:sz w:val="20"/>
          <w:szCs w:val="20"/>
        </w:rPr>
        <w:t>58</w:t>
      </w:r>
      <w:r w:rsidRPr="001C6CAB">
        <w:rPr>
          <w:rFonts w:ascii="Verdana" w:hAnsi="Verdana"/>
          <w:sz w:val="20"/>
          <w:szCs w:val="20"/>
        </w:rPr>
        <w:t>.</w:t>
      </w:r>
    </w:p>
    <w:p w14:paraId="651A587C" w14:textId="26E27503" w:rsidR="009411A3" w:rsidRPr="007E5CCD" w:rsidRDefault="002B3025" w:rsidP="007E5CCD">
      <w:pPr>
        <w:jc w:val="both"/>
        <w:rPr>
          <w:rFonts w:ascii="Verdana" w:eastAsia="Arial" w:hAnsi="Verdana" w:cs="Arial"/>
          <w:bCs/>
          <w:sz w:val="20"/>
          <w:szCs w:val="20"/>
          <w:lang w:val="es"/>
        </w:rPr>
      </w:pPr>
      <w:r w:rsidRPr="002B3025">
        <w:rPr>
          <w:rFonts w:ascii="Verdana" w:eastAsia="Arial" w:hAnsi="Verdana" w:cs="Arial"/>
          <w:bCs/>
          <w:sz w:val="20"/>
          <w:szCs w:val="20"/>
          <w:lang w:val="es"/>
        </w:rPr>
        <w:t xml:space="preserve">En ese sentido, las mencionadas entidades deben reportar mensualmente la información del Coeficiente de Fondeo Estable Neto (CFEN) </w:t>
      </w:r>
      <w:r w:rsidRPr="00F6642B">
        <w:rPr>
          <w:rFonts w:ascii="Verdana" w:eastAsia="Arial" w:hAnsi="Verdana" w:cs="Arial"/>
          <w:bCs/>
          <w:sz w:val="20"/>
          <w:szCs w:val="20"/>
          <w:lang w:val="es"/>
        </w:rPr>
        <w:t xml:space="preserve">definido en el </w:t>
      </w:r>
      <w:r w:rsidR="00F6642B" w:rsidRPr="00F6642B">
        <w:rPr>
          <w:rFonts w:ascii="Verdana" w:eastAsia="Arial" w:hAnsi="Verdana" w:cs="Arial"/>
          <w:bCs/>
          <w:sz w:val="20"/>
          <w:szCs w:val="20"/>
          <w:lang w:val="es"/>
        </w:rPr>
        <w:t>a</w:t>
      </w:r>
      <w:r w:rsidRPr="00F6642B">
        <w:rPr>
          <w:rFonts w:ascii="Verdana" w:eastAsia="Arial" w:hAnsi="Verdana" w:cs="Arial"/>
          <w:bCs/>
          <w:sz w:val="20"/>
          <w:szCs w:val="20"/>
          <w:lang w:val="es"/>
        </w:rPr>
        <w:t>nexo 12</w:t>
      </w:r>
      <w:r w:rsidR="00F6642B" w:rsidRPr="00F6642B">
        <w:rPr>
          <w:rFonts w:ascii="Verdana" w:eastAsia="Arial" w:hAnsi="Verdana" w:cs="Arial"/>
          <w:bCs/>
          <w:sz w:val="20"/>
          <w:szCs w:val="20"/>
          <w:lang w:val="es"/>
        </w:rPr>
        <w:t xml:space="preserve"> del presente capítulo</w:t>
      </w:r>
      <w:r w:rsidRPr="00F6642B">
        <w:rPr>
          <w:rFonts w:ascii="Verdana" w:eastAsia="Arial" w:hAnsi="Verdana" w:cs="Arial"/>
          <w:bCs/>
          <w:sz w:val="20"/>
          <w:szCs w:val="20"/>
          <w:lang w:val="es"/>
        </w:rPr>
        <w:t>, según las instrucciones que imparta la SFC para tal</w:t>
      </w:r>
      <w:r w:rsidRPr="002B3025">
        <w:rPr>
          <w:rFonts w:ascii="Verdana" w:eastAsia="Arial" w:hAnsi="Verdana" w:cs="Arial"/>
          <w:bCs/>
          <w:sz w:val="20"/>
          <w:szCs w:val="20"/>
          <w:lang w:val="es"/>
        </w:rPr>
        <w:t xml:space="preserve"> fin.</w:t>
      </w:r>
    </w:p>
    <w:p w14:paraId="6820699D" w14:textId="5CA9471F" w:rsidR="002B3025" w:rsidRPr="009411A3" w:rsidRDefault="002B3025" w:rsidP="00551D66">
      <w:pPr>
        <w:pStyle w:val="Normal9pt"/>
        <w:numPr>
          <w:ilvl w:val="0"/>
          <w:numId w:val="39"/>
        </w:numPr>
        <w:tabs>
          <w:tab w:val="right" w:pos="540"/>
        </w:tabs>
        <w:ind w:left="284" w:hanging="284"/>
        <w:rPr>
          <w:rFonts w:ascii="Verdana" w:hAnsi="Verdana"/>
          <w:b/>
          <w:sz w:val="20"/>
          <w:szCs w:val="20"/>
          <w:lang w:val="es-CO"/>
        </w:rPr>
      </w:pPr>
      <w:r w:rsidRPr="009411A3">
        <w:rPr>
          <w:rFonts w:ascii="Verdana" w:hAnsi="Verdana"/>
          <w:b/>
          <w:sz w:val="20"/>
          <w:szCs w:val="20"/>
          <w:lang w:val="es-CO"/>
        </w:rPr>
        <w:t>Metodología estándar de medición aplicable a las SCBV</w:t>
      </w:r>
    </w:p>
    <w:p w14:paraId="777CCAC5" w14:textId="77777777" w:rsidR="009411A3" w:rsidRPr="002B3025" w:rsidRDefault="009411A3" w:rsidP="00B929BB">
      <w:pPr>
        <w:pStyle w:val="Normal9pt"/>
        <w:rPr>
          <w:rFonts w:ascii="Verdana" w:hAnsi="Verdana"/>
          <w:bCs/>
          <w:sz w:val="20"/>
          <w:szCs w:val="20"/>
          <w:lang w:val="es-CO"/>
        </w:rPr>
      </w:pPr>
    </w:p>
    <w:p w14:paraId="363EE77B" w14:textId="32E0C2B5" w:rsidR="009411A3" w:rsidRPr="001C6CAB" w:rsidRDefault="009411A3" w:rsidP="009411A3">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854FDC">
        <w:rPr>
          <w:rFonts w:ascii="Verdana" w:hAnsi="Verdana"/>
          <w:sz w:val="20"/>
          <w:szCs w:val="20"/>
        </w:rPr>
        <w:t>59</w:t>
      </w:r>
      <w:r w:rsidRPr="001C6CAB">
        <w:rPr>
          <w:rFonts w:ascii="Verdana" w:hAnsi="Verdana"/>
          <w:sz w:val="20"/>
          <w:szCs w:val="20"/>
        </w:rPr>
        <w:t>.</w:t>
      </w:r>
    </w:p>
    <w:p w14:paraId="41A13024" w14:textId="36FB4E49" w:rsidR="00DF5598" w:rsidRPr="005C3D28" w:rsidRDefault="00CE2506" w:rsidP="00B929BB">
      <w:pPr>
        <w:pStyle w:val="Normal9pt"/>
        <w:rPr>
          <w:rFonts w:ascii="Verdana" w:hAnsi="Verdana"/>
          <w:sz w:val="20"/>
          <w:szCs w:val="20"/>
          <w:lang w:val="es-ES"/>
        </w:rPr>
      </w:pPr>
      <w:r>
        <w:rPr>
          <w:rFonts w:ascii="Verdana" w:hAnsi="Verdana"/>
          <w:sz w:val="20"/>
          <w:szCs w:val="20"/>
          <w:lang w:val="es-ES"/>
        </w:rPr>
        <w:t>Las SCBV d</w:t>
      </w:r>
      <w:r w:rsidR="002B3025" w:rsidRPr="61A804E2">
        <w:rPr>
          <w:rFonts w:ascii="Verdana" w:hAnsi="Verdana"/>
          <w:sz w:val="20"/>
          <w:szCs w:val="20"/>
          <w:lang w:val="es-ES"/>
        </w:rPr>
        <w:t xml:space="preserve">eben implementar el modelo estándar para realizar la medición diaria del IRL, de acuerdo con las instrucciones establecidas en el </w:t>
      </w:r>
      <w:r w:rsidR="00741029" w:rsidRPr="61A804E2">
        <w:rPr>
          <w:rFonts w:ascii="Verdana" w:hAnsi="Verdana"/>
          <w:sz w:val="20"/>
          <w:szCs w:val="20"/>
          <w:lang w:val="es-ES"/>
        </w:rPr>
        <w:t>a</w:t>
      </w:r>
      <w:r w:rsidR="002B3025" w:rsidRPr="61A804E2">
        <w:rPr>
          <w:rFonts w:ascii="Verdana" w:hAnsi="Verdana"/>
          <w:sz w:val="20"/>
          <w:szCs w:val="20"/>
          <w:lang w:val="es-ES"/>
        </w:rPr>
        <w:t>nexo 10</w:t>
      </w:r>
      <w:r w:rsidR="00741029" w:rsidRPr="61A804E2">
        <w:rPr>
          <w:rFonts w:ascii="Verdana" w:hAnsi="Verdana"/>
          <w:sz w:val="20"/>
          <w:szCs w:val="20"/>
          <w:lang w:val="es-ES"/>
        </w:rPr>
        <w:t xml:space="preserve"> del presente capítulo. </w:t>
      </w:r>
    </w:p>
    <w:p w14:paraId="004DA4AA" w14:textId="77777777" w:rsidR="00DF5598" w:rsidRPr="002B3025" w:rsidRDefault="00DF5598" w:rsidP="00B929BB">
      <w:pPr>
        <w:pStyle w:val="Normal9pt"/>
        <w:rPr>
          <w:rFonts w:ascii="Verdana" w:hAnsi="Verdana"/>
          <w:bCs/>
          <w:sz w:val="20"/>
          <w:szCs w:val="20"/>
          <w:lang w:val="es-ES_tradnl"/>
        </w:rPr>
      </w:pPr>
    </w:p>
    <w:p w14:paraId="78652D3D" w14:textId="013E99FF" w:rsidR="00502016" w:rsidRPr="001C6CAB" w:rsidRDefault="00502016" w:rsidP="00502016">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854FDC">
        <w:rPr>
          <w:rFonts w:ascii="Verdana" w:hAnsi="Verdana"/>
          <w:sz w:val="20"/>
          <w:szCs w:val="20"/>
        </w:rPr>
        <w:t>60</w:t>
      </w:r>
      <w:r w:rsidRPr="001C6CAB">
        <w:rPr>
          <w:rFonts w:ascii="Verdana" w:hAnsi="Verdana"/>
          <w:sz w:val="20"/>
          <w:szCs w:val="20"/>
        </w:rPr>
        <w:t>.</w:t>
      </w:r>
    </w:p>
    <w:p w14:paraId="1126E39D" w14:textId="7678C8B1" w:rsidR="002B3025" w:rsidRPr="009411A3" w:rsidRDefault="002B3025" w:rsidP="009411A3">
      <w:pPr>
        <w:spacing w:after="0" w:line="240" w:lineRule="auto"/>
        <w:jc w:val="both"/>
        <w:outlineLvl w:val="0"/>
        <w:rPr>
          <w:rFonts w:ascii="Verdana" w:hAnsi="Verdana" w:cs="Arial"/>
          <w:bCs/>
          <w:sz w:val="20"/>
          <w:szCs w:val="20"/>
          <w:lang w:val="es-ES_tradnl"/>
        </w:rPr>
      </w:pPr>
      <w:r w:rsidRPr="009411A3">
        <w:rPr>
          <w:rFonts w:ascii="Verdana" w:hAnsi="Verdana" w:cs="Arial"/>
          <w:bCs/>
          <w:sz w:val="20"/>
          <w:szCs w:val="20"/>
          <w:lang w:val="es-ES_tradnl"/>
        </w:rPr>
        <w:t xml:space="preserve">Deben reportar los resultados de la medición del </w:t>
      </w:r>
      <w:r w:rsidR="004545DD">
        <w:rPr>
          <w:rFonts w:ascii="Verdana" w:hAnsi="Verdana" w:cs="Arial"/>
          <w:bCs/>
          <w:sz w:val="20"/>
          <w:szCs w:val="20"/>
          <w:lang w:val="es-ES_tradnl"/>
        </w:rPr>
        <w:t>i</w:t>
      </w:r>
      <w:r w:rsidRPr="009411A3">
        <w:rPr>
          <w:rFonts w:ascii="Verdana" w:hAnsi="Verdana" w:cs="Arial"/>
          <w:bCs/>
          <w:sz w:val="20"/>
          <w:szCs w:val="20"/>
          <w:lang w:val="es-ES_tradnl"/>
        </w:rPr>
        <w:t xml:space="preserve">ndicador </w:t>
      </w:r>
      <w:r w:rsidR="004545DD">
        <w:rPr>
          <w:rFonts w:ascii="Verdana" w:hAnsi="Verdana" w:cs="Arial"/>
          <w:bCs/>
          <w:sz w:val="20"/>
          <w:szCs w:val="20"/>
          <w:lang w:val="es-ES_tradnl"/>
        </w:rPr>
        <w:t xml:space="preserve">de liquidez </w:t>
      </w:r>
      <w:r w:rsidRPr="009411A3">
        <w:rPr>
          <w:rFonts w:ascii="Verdana" w:hAnsi="Verdana" w:cs="Arial"/>
          <w:bCs/>
          <w:sz w:val="20"/>
          <w:szCs w:val="20"/>
          <w:lang w:val="es-ES_tradnl"/>
        </w:rPr>
        <w:t xml:space="preserve">en los formatos establecidos en el Anexo 10 y dar cumplimiento a los límites </w:t>
      </w:r>
      <w:r w:rsidRPr="00741029">
        <w:rPr>
          <w:rFonts w:ascii="Verdana" w:hAnsi="Verdana" w:cs="Arial"/>
          <w:bCs/>
          <w:sz w:val="20"/>
          <w:szCs w:val="20"/>
          <w:lang w:val="es-ES_tradnl"/>
        </w:rPr>
        <w:t xml:space="preserve">y medidas establecidas en </w:t>
      </w:r>
      <w:r w:rsidR="00741029" w:rsidRPr="00741029">
        <w:rPr>
          <w:rFonts w:ascii="Verdana" w:hAnsi="Verdana" w:cs="Arial"/>
          <w:bCs/>
          <w:sz w:val="20"/>
          <w:szCs w:val="20"/>
          <w:lang w:val="es-ES_tradnl"/>
        </w:rPr>
        <w:t>la presente sección.</w:t>
      </w:r>
      <w:r w:rsidR="00741029">
        <w:rPr>
          <w:rFonts w:ascii="Verdana" w:hAnsi="Verdana" w:cs="Arial"/>
          <w:bCs/>
          <w:sz w:val="20"/>
          <w:szCs w:val="20"/>
          <w:lang w:val="es-ES_tradnl"/>
        </w:rPr>
        <w:t xml:space="preserve"> </w:t>
      </w:r>
    </w:p>
    <w:p w14:paraId="1BF6C884" w14:textId="77777777" w:rsidR="002B3025" w:rsidRPr="002B3025" w:rsidRDefault="002B3025" w:rsidP="00B929BB">
      <w:pPr>
        <w:pStyle w:val="Normal9pt"/>
        <w:rPr>
          <w:rFonts w:ascii="Verdana" w:hAnsi="Verdana"/>
          <w:bCs/>
          <w:sz w:val="20"/>
          <w:szCs w:val="20"/>
          <w:lang w:val="es-ES_tradnl"/>
        </w:rPr>
      </w:pPr>
    </w:p>
    <w:p w14:paraId="6577388F" w14:textId="24D1EB03" w:rsidR="002B3025" w:rsidRPr="00FA653E" w:rsidRDefault="002B3025" w:rsidP="00551D66">
      <w:pPr>
        <w:pStyle w:val="Normal9pt"/>
        <w:numPr>
          <w:ilvl w:val="0"/>
          <w:numId w:val="39"/>
        </w:numPr>
        <w:tabs>
          <w:tab w:val="right" w:pos="540"/>
        </w:tabs>
        <w:ind w:left="284" w:hanging="284"/>
        <w:rPr>
          <w:rFonts w:ascii="Verdana" w:hAnsi="Verdana"/>
          <w:b/>
          <w:sz w:val="20"/>
          <w:szCs w:val="20"/>
          <w:lang w:val="es-CO"/>
        </w:rPr>
      </w:pPr>
      <w:r w:rsidRPr="00087ABF">
        <w:rPr>
          <w:rFonts w:ascii="Verdana" w:hAnsi="Verdana"/>
          <w:b/>
          <w:sz w:val="20"/>
          <w:szCs w:val="20"/>
          <w:lang w:val="es-CO"/>
        </w:rPr>
        <w:t>Metodología estándar de medición aplicable a las administradoras de los FIC</w:t>
      </w:r>
      <w:r w:rsidRPr="00FA653E">
        <w:rPr>
          <w:rFonts w:ascii="Verdana" w:hAnsi="Verdana"/>
          <w:b/>
          <w:sz w:val="20"/>
          <w:szCs w:val="20"/>
          <w:lang w:val="es-CO"/>
        </w:rPr>
        <w:t xml:space="preserve"> abiertos sin pacto de permanencia</w:t>
      </w:r>
    </w:p>
    <w:p w14:paraId="29C1A02A" w14:textId="77777777" w:rsidR="002B3025" w:rsidRPr="002B3025" w:rsidRDefault="002B3025" w:rsidP="00B929BB">
      <w:pPr>
        <w:pStyle w:val="Normal9pt"/>
        <w:ind w:left="720"/>
        <w:rPr>
          <w:rFonts w:ascii="Verdana" w:hAnsi="Verdana"/>
          <w:bCs/>
          <w:i/>
          <w:sz w:val="20"/>
          <w:szCs w:val="20"/>
        </w:rPr>
      </w:pPr>
    </w:p>
    <w:p w14:paraId="76D27386" w14:textId="4F7C3A1F" w:rsidR="00087ABF" w:rsidRPr="001C6CAB" w:rsidRDefault="00087ABF" w:rsidP="00087ABF">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854FDC">
        <w:rPr>
          <w:rFonts w:ascii="Verdana" w:hAnsi="Verdana"/>
          <w:sz w:val="20"/>
          <w:szCs w:val="20"/>
        </w:rPr>
        <w:t>61</w:t>
      </w:r>
      <w:r w:rsidRPr="001C6CAB">
        <w:rPr>
          <w:rFonts w:ascii="Verdana" w:hAnsi="Verdana"/>
          <w:sz w:val="20"/>
          <w:szCs w:val="20"/>
        </w:rPr>
        <w:t>.</w:t>
      </w:r>
    </w:p>
    <w:p w14:paraId="042A3969" w14:textId="7186514C" w:rsidR="002B3025" w:rsidRPr="00087ABF" w:rsidRDefault="00FC6066" w:rsidP="60169A51">
      <w:pPr>
        <w:spacing w:after="0" w:line="240" w:lineRule="auto"/>
        <w:jc w:val="both"/>
        <w:rPr>
          <w:rFonts w:ascii="Verdana" w:hAnsi="Verdana" w:cs="Arial"/>
          <w:sz w:val="20"/>
          <w:szCs w:val="20"/>
          <w:lang w:val="es-ES"/>
        </w:rPr>
      </w:pPr>
      <w:r>
        <w:rPr>
          <w:rFonts w:ascii="Verdana" w:hAnsi="Verdana" w:cs="Arial"/>
          <w:sz w:val="20"/>
          <w:szCs w:val="20"/>
          <w:lang w:val="es-ES"/>
        </w:rPr>
        <w:t>Estas entidades d</w:t>
      </w:r>
      <w:r w:rsidR="002B3025" w:rsidRPr="60169A51">
        <w:rPr>
          <w:rFonts w:ascii="Verdana" w:hAnsi="Verdana" w:cs="Arial"/>
          <w:sz w:val="20"/>
          <w:szCs w:val="20"/>
          <w:lang w:val="es-ES"/>
        </w:rPr>
        <w:t>eben implementar el modelo estándar para realizar la medición diaria del riesgo de liquidez, de acuerdo con las instrucciones establecidas en el Anexo 11.</w:t>
      </w:r>
    </w:p>
    <w:p w14:paraId="62E935ED" w14:textId="77777777" w:rsidR="002B3025" w:rsidRPr="002B3025" w:rsidRDefault="002B3025" w:rsidP="00087ABF">
      <w:pPr>
        <w:contextualSpacing/>
        <w:jc w:val="both"/>
        <w:rPr>
          <w:rFonts w:ascii="Verdana" w:hAnsi="Verdana" w:cs="Arial"/>
          <w:bCs/>
          <w:sz w:val="20"/>
          <w:szCs w:val="20"/>
          <w:lang w:val="es-ES_tradnl"/>
        </w:rPr>
      </w:pPr>
    </w:p>
    <w:p w14:paraId="1C8B9920" w14:textId="228DF233" w:rsidR="00087ABF" w:rsidRPr="001C6CAB" w:rsidRDefault="00087ABF" w:rsidP="00087ABF">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854FDC">
        <w:rPr>
          <w:rFonts w:ascii="Verdana" w:hAnsi="Verdana"/>
          <w:sz w:val="20"/>
          <w:szCs w:val="20"/>
        </w:rPr>
        <w:t>62</w:t>
      </w:r>
      <w:r w:rsidRPr="001C6CAB">
        <w:rPr>
          <w:rFonts w:ascii="Verdana" w:hAnsi="Verdana"/>
          <w:sz w:val="20"/>
          <w:szCs w:val="20"/>
        </w:rPr>
        <w:t>.</w:t>
      </w:r>
    </w:p>
    <w:p w14:paraId="0E163D76" w14:textId="7596AABC" w:rsidR="002B3025" w:rsidRDefault="002B3025" w:rsidP="007E5CCD">
      <w:pPr>
        <w:spacing w:after="0" w:line="240" w:lineRule="auto"/>
        <w:jc w:val="both"/>
        <w:outlineLvl w:val="0"/>
        <w:rPr>
          <w:rFonts w:ascii="Verdana" w:hAnsi="Verdana" w:cs="Arial"/>
          <w:bCs/>
          <w:sz w:val="20"/>
          <w:szCs w:val="20"/>
          <w:lang w:val="es-ES_tradnl"/>
        </w:rPr>
      </w:pPr>
      <w:r w:rsidRPr="00087ABF">
        <w:rPr>
          <w:rFonts w:ascii="Verdana" w:hAnsi="Verdana" w:cs="Arial"/>
          <w:bCs/>
          <w:sz w:val="20"/>
          <w:szCs w:val="20"/>
          <w:lang w:val="es-ES_tradnl"/>
        </w:rPr>
        <w:t xml:space="preserve">Deben reportar los resultados de la medición del riesgo de liquidez en los formatos establecidos en el </w:t>
      </w:r>
      <w:r w:rsidR="00FA653E">
        <w:rPr>
          <w:rFonts w:ascii="Verdana" w:hAnsi="Verdana" w:cs="Arial"/>
          <w:bCs/>
          <w:sz w:val="20"/>
          <w:szCs w:val="20"/>
          <w:lang w:val="es-ES_tradnl"/>
        </w:rPr>
        <w:t>a</w:t>
      </w:r>
      <w:r w:rsidRPr="00087ABF">
        <w:rPr>
          <w:rFonts w:ascii="Verdana" w:hAnsi="Verdana" w:cs="Arial"/>
          <w:bCs/>
          <w:sz w:val="20"/>
          <w:szCs w:val="20"/>
          <w:lang w:val="es-ES_tradnl"/>
        </w:rPr>
        <w:t>nexo 11</w:t>
      </w:r>
      <w:r w:rsidR="00FA653E">
        <w:rPr>
          <w:rFonts w:ascii="Verdana" w:hAnsi="Verdana" w:cs="Arial"/>
          <w:bCs/>
          <w:sz w:val="20"/>
          <w:szCs w:val="20"/>
          <w:lang w:val="es-ES_tradnl"/>
        </w:rPr>
        <w:t xml:space="preserve"> del </w:t>
      </w:r>
      <w:r w:rsidR="00FA653E" w:rsidRPr="00FA653E">
        <w:rPr>
          <w:rFonts w:ascii="Verdana" w:hAnsi="Verdana" w:cs="Arial"/>
          <w:bCs/>
          <w:sz w:val="20"/>
          <w:szCs w:val="20"/>
          <w:lang w:val="es-ES_tradnl"/>
        </w:rPr>
        <w:t>presente capítulo</w:t>
      </w:r>
      <w:r w:rsidRPr="00FA653E">
        <w:rPr>
          <w:rFonts w:ascii="Verdana" w:hAnsi="Verdana" w:cs="Arial"/>
          <w:bCs/>
          <w:sz w:val="20"/>
          <w:szCs w:val="20"/>
          <w:lang w:val="es-ES_tradnl"/>
        </w:rPr>
        <w:t xml:space="preserve"> y cumplir los límites y medidas establecidas en </w:t>
      </w:r>
      <w:r w:rsidR="00FA653E" w:rsidRPr="00FA653E">
        <w:rPr>
          <w:rFonts w:ascii="Verdana" w:hAnsi="Verdana" w:cs="Arial"/>
          <w:bCs/>
          <w:sz w:val="20"/>
          <w:szCs w:val="20"/>
          <w:lang w:val="es-ES_tradnl"/>
        </w:rPr>
        <w:t>la presente se</w:t>
      </w:r>
      <w:r w:rsidR="00FA653E">
        <w:rPr>
          <w:rFonts w:ascii="Verdana" w:hAnsi="Verdana" w:cs="Arial"/>
          <w:bCs/>
          <w:sz w:val="20"/>
          <w:szCs w:val="20"/>
          <w:lang w:val="es-ES_tradnl"/>
        </w:rPr>
        <w:t xml:space="preserve">cción. </w:t>
      </w:r>
    </w:p>
    <w:p w14:paraId="2BA51DFE" w14:textId="77777777" w:rsidR="007E5CCD" w:rsidRPr="007E5CCD" w:rsidRDefault="007E5CCD" w:rsidP="007E5CCD">
      <w:pPr>
        <w:spacing w:after="0" w:line="240" w:lineRule="auto"/>
        <w:jc w:val="both"/>
        <w:outlineLvl w:val="0"/>
        <w:rPr>
          <w:rFonts w:ascii="Verdana" w:hAnsi="Verdana" w:cs="Arial"/>
          <w:bCs/>
          <w:sz w:val="20"/>
          <w:szCs w:val="20"/>
          <w:lang w:val="es-ES_tradnl"/>
        </w:rPr>
      </w:pPr>
    </w:p>
    <w:p w14:paraId="74E983BE" w14:textId="48173CF4" w:rsidR="002B3025" w:rsidRDefault="002B3025" w:rsidP="007E5CCD">
      <w:pPr>
        <w:pStyle w:val="Normal9pt"/>
        <w:rPr>
          <w:rFonts w:ascii="Verdana" w:hAnsi="Verdana"/>
          <w:b/>
          <w:sz w:val="20"/>
          <w:szCs w:val="20"/>
          <w:lang w:val="es-CO"/>
        </w:rPr>
      </w:pPr>
      <w:r w:rsidRPr="00087ABF">
        <w:rPr>
          <w:rFonts w:ascii="Verdana" w:hAnsi="Verdana"/>
          <w:b/>
          <w:sz w:val="20"/>
          <w:szCs w:val="20"/>
          <w:lang w:val="es-CO"/>
        </w:rPr>
        <w:t>Límites y medidas</w:t>
      </w:r>
    </w:p>
    <w:p w14:paraId="570B41D9" w14:textId="77777777" w:rsidR="007E5CCD" w:rsidRPr="007E5CCD" w:rsidRDefault="007E5CCD" w:rsidP="007E5CCD">
      <w:pPr>
        <w:pStyle w:val="Normal9pt"/>
        <w:rPr>
          <w:rFonts w:ascii="Verdana" w:hAnsi="Verdana"/>
          <w:b/>
          <w:sz w:val="20"/>
          <w:szCs w:val="20"/>
          <w:lang w:val="es-CO"/>
        </w:rPr>
      </w:pPr>
    </w:p>
    <w:p w14:paraId="0CAD2F88" w14:textId="2CFF8F28" w:rsidR="002B3025" w:rsidRDefault="002B3025" w:rsidP="00551D66">
      <w:pPr>
        <w:pStyle w:val="Sangradetextonormal"/>
        <w:numPr>
          <w:ilvl w:val="0"/>
          <w:numId w:val="39"/>
        </w:numPr>
        <w:tabs>
          <w:tab w:val="right" w:pos="540"/>
        </w:tabs>
        <w:spacing w:after="0"/>
        <w:ind w:left="284" w:hanging="284"/>
        <w:jc w:val="both"/>
        <w:rPr>
          <w:rFonts w:ascii="Verdana" w:hAnsi="Verdana" w:cs="Arial"/>
          <w:b/>
          <w:lang w:val="es-ES_tradnl"/>
        </w:rPr>
      </w:pPr>
      <w:r w:rsidRPr="00087ABF">
        <w:rPr>
          <w:rFonts w:ascii="Verdana" w:hAnsi="Verdana" w:cs="Arial"/>
          <w:b/>
          <w:lang w:val="es-ES_tradnl"/>
        </w:rPr>
        <w:t>Límite del IRL</w:t>
      </w:r>
    </w:p>
    <w:p w14:paraId="6A4D0616" w14:textId="77777777" w:rsidR="007E5CCD" w:rsidRPr="007E5CCD" w:rsidRDefault="007E5CCD" w:rsidP="007E5CCD">
      <w:pPr>
        <w:pStyle w:val="Sangradetextonormal"/>
        <w:tabs>
          <w:tab w:val="right" w:pos="540"/>
        </w:tabs>
        <w:spacing w:after="0"/>
        <w:ind w:left="0"/>
        <w:jc w:val="both"/>
        <w:rPr>
          <w:rFonts w:ascii="Verdana" w:hAnsi="Verdana" w:cs="Arial"/>
          <w:b/>
          <w:lang w:val="es-ES_tradnl"/>
        </w:rPr>
      </w:pPr>
    </w:p>
    <w:p w14:paraId="1FBB1CA6" w14:textId="6C9125EA" w:rsidR="00087ABF" w:rsidRPr="001C6CAB" w:rsidRDefault="00087ABF" w:rsidP="00087ABF">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854FDC">
        <w:rPr>
          <w:rFonts w:ascii="Verdana" w:hAnsi="Verdana"/>
          <w:sz w:val="20"/>
          <w:szCs w:val="20"/>
        </w:rPr>
        <w:t>63</w:t>
      </w:r>
      <w:r w:rsidRPr="001C6CAB">
        <w:rPr>
          <w:rFonts w:ascii="Verdana" w:hAnsi="Verdana"/>
          <w:sz w:val="20"/>
          <w:szCs w:val="20"/>
        </w:rPr>
        <w:t>.</w:t>
      </w:r>
    </w:p>
    <w:p w14:paraId="3FF1B99C" w14:textId="10100FD6" w:rsidR="002B3025" w:rsidRDefault="002B3025" w:rsidP="00087ABF">
      <w:pPr>
        <w:pStyle w:val="Sangradetextonormal"/>
        <w:ind w:left="0"/>
        <w:jc w:val="both"/>
        <w:rPr>
          <w:rFonts w:ascii="Verdana" w:hAnsi="Verdana" w:cs="Arial"/>
          <w:bCs/>
          <w:lang w:val="es-ES_tradnl"/>
        </w:rPr>
      </w:pPr>
      <w:r w:rsidRPr="002B3025">
        <w:rPr>
          <w:rFonts w:ascii="Verdana" w:hAnsi="Verdana" w:cs="Arial"/>
          <w:bCs/>
        </w:rPr>
        <w:t xml:space="preserve">EC, organismos cooperativos de grado superior, Bancóldex, Findeter y Finagro, </w:t>
      </w:r>
      <w:r w:rsidRPr="002B3025">
        <w:rPr>
          <w:rFonts w:ascii="Verdana" w:hAnsi="Verdana" w:cs="Arial"/>
          <w:bCs/>
          <w:lang w:val="es-ES_tradnl"/>
        </w:rPr>
        <w:t xml:space="preserve">deben mantener un nivel de activos líquidos de alta calidad, equivalente como mínimo al 70% de los activos líquidos totales definidos en el </w:t>
      </w:r>
      <w:r w:rsidR="00E2672B">
        <w:rPr>
          <w:rFonts w:ascii="Verdana" w:hAnsi="Verdana" w:cs="Arial"/>
          <w:bCs/>
          <w:lang w:val="es-ES_tradnl"/>
        </w:rPr>
        <w:t>a</w:t>
      </w:r>
      <w:r w:rsidRPr="002B3025">
        <w:rPr>
          <w:rFonts w:ascii="Verdana" w:hAnsi="Verdana" w:cs="Arial"/>
          <w:bCs/>
          <w:lang w:val="es-ES_tradnl"/>
        </w:rPr>
        <w:t>nexo 9. Para este propósito, los activos líquidos que no ostenten la característica de alta calidad se contabilizan por su valor ajustado por liquidez de mercado y riesgo cambiario como parte de los activos líquidos totales hasta por un valor máximo de 3/7 del valor ajustado por liquidez de mercado y riesgo cambiario de los activos líquidos de alta calidad.</w:t>
      </w:r>
    </w:p>
    <w:p w14:paraId="565A0796" w14:textId="215C723C" w:rsidR="00087ABF" w:rsidRPr="001C6CAB" w:rsidRDefault="00087ABF" w:rsidP="00087ABF">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854FDC">
        <w:rPr>
          <w:rFonts w:ascii="Verdana" w:hAnsi="Verdana"/>
          <w:sz w:val="20"/>
          <w:szCs w:val="20"/>
        </w:rPr>
        <w:t>64</w:t>
      </w:r>
      <w:r w:rsidRPr="001C6CAB">
        <w:rPr>
          <w:rFonts w:ascii="Verdana" w:hAnsi="Verdana"/>
          <w:sz w:val="20"/>
          <w:szCs w:val="20"/>
        </w:rPr>
        <w:t>.</w:t>
      </w:r>
    </w:p>
    <w:p w14:paraId="096744B7" w14:textId="40E78261" w:rsidR="002B3025" w:rsidRPr="002B3025" w:rsidRDefault="002B3025" w:rsidP="007E5CCD">
      <w:pPr>
        <w:pStyle w:val="Sangradetextonormal"/>
        <w:ind w:left="0"/>
        <w:jc w:val="both"/>
        <w:rPr>
          <w:rFonts w:ascii="Verdana" w:hAnsi="Verdana" w:cs="Arial"/>
          <w:bCs/>
          <w:lang w:val="es-ES_tradnl"/>
        </w:rPr>
      </w:pPr>
      <w:r w:rsidRPr="002B3025">
        <w:rPr>
          <w:rFonts w:ascii="Verdana" w:hAnsi="Verdana" w:cs="Arial"/>
          <w:bCs/>
          <w:lang w:val="es-ES_tradnl"/>
        </w:rPr>
        <w:t xml:space="preserve">El IRL de los </w:t>
      </w:r>
      <w:r w:rsidRPr="002B3025">
        <w:rPr>
          <w:rFonts w:ascii="Verdana" w:hAnsi="Verdana" w:cs="Arial"/>
          <w:bCs/>
        </w:rPr>
        <w:t>EC, organismos cooperativos de grado superior, Bancóldex, Findeter y Finagro</w:t>
      </w:r>
      <w:r w:rsidRPr="002B3025">
        <w:rPr>
          <w:rFonts w:ascii="Verdana" w:hAnsi="Verdana" w:cs="Arial"/>
          <w:bCs/>
          <w:lang w:val="es-ES_tradnl"/>
        </w:rPr>
        <w:t xml:space="preserve">, acumulado para los horizontes de 7 y 30 días calendario debe ser siempre igual o superior a 0 </w:t>
      </w:r>
      <w:r w:rsidR="00E2672B">
        <w:rPr>
          <w:rFonts w:ascii="Verdana" w:hAnsi="Verdana" w:cs="Arial"/>
          <w:bCs/>
          <w:lang w:val="es-ES_tradnl"/>
        </w:rPr>
        <w:t>(</w:t>
      </w:r>
      <w:r w:rsidRPr="002B3025">
        <w:rPr>
          <w:rFonts w:ascii="Verdana" w:hAnsi="Verdana" w:cs="Arial"/>
          <w:bCs/>
          <w:lang w:val="es-ES_tradnl"/>
        </w:rPr>
        <w:t>IRLm</w:t>
      </w:r>
      <w:r w:rsidR="00E2672B">
        <w:rPr>
          <w:rFonts w:ascii="Verdana" w:hAnsi="Verdana" w:cs="Arial"/>
          <w:bCs/>
          <w:lang w:val="es-ES_tradnl"/>
        </w:rPr>
        <w:t>)</w:t>
      </w:r>
      <w:r w:rsidRPr="002B3025">
        <w:rPr>
          <w:rFonts w:ascii="Verdana" w:hAnsi="Verdana" w:cs="Arial"/>
          <w:bCs/>
          <w:lang w:val="es-ES_tradnl"/>
        </w:rPr>
        <w:t xml:space="preserve">, y mayor o igual al 100% en el caso de la razón </w:t>
      </w:r>
      <w:r w:rsidR="00E2672B">
        <w:rPr>
          <w:rFonts w:ascii="Verdana" w:hAnsi="Verdana" w:cs="Arial"/>
          <w:bCs/>
          <w:lang w:val="es-ES_tradnl"/>
        </w:rPr>
        <w:t>(</w:t>
      </w:r>
      <w:r w:rsidRPr="002B3025">
        <w:rPr>
          <w:rFonts w:ascii="Verdana" w:hAnsi="Verdana" w:cs="Arial"/>
          <w:bCs/>
          <w:lang w:val="es-ES_tradnl"/>
        </w:rPr>
        <w:t>IRLr</w:t>
      </w:r>
      <w:r w:rsidR="00E2672B">
        <w:rPr>
          <w:rFonts w:ascii="Verdana" w:hAnsi="Verdana" w:cs="Arial"/>
          <w:bCs/>
          <w:lang w:val="es-ES_tradnl"/>
        </w:rPr>
        <w:t>)</w:t>
      </w:r>
      <w:r w:rsidRPr="002B3025">
        <w:rPr>
          <w:rFonts w:ascii="Verdana" w:hAnsi="Verdana" w:cs="Arial"/>
          <w:bCs/>
          <w:lang w:val="es-ES_tradnl"/>
        </w:rPr>
        <w:t xml:space="preserve">. Para las demás bandas de tiempo del reporte, no están sujetos a los límites del IRL, sin perjuicio de la obligación periódica establecida en los respectivos formatos. No obstante, la SFC podrá imponer límites mínimos al indicador para esas bandas de tiempo, cuyo incumplimiento será equivalente al incumplimiento de los límites </w:t>
      </w:r>
      <w:r w:rsidR="002A1F77">
        <w:rPr>
          <w:rFonts w:ascii="Verdana" w:hAnsi="Verdana" w:cs="Arial"/>
          <w:bCs/>
          <w:lang w:val="es-ES_tradnl"/>
        </w:rPr>
        <w:t>aquí previstos</w:t>
      </w:r>
      <w:r w:rsidRPr="002B3025">
        <w:rPr>
          <w:rFonts w:ascii="Verdana" w:hAnsi="Verdana" w:cs="Arial"/>
          <w:bCs/>
          <w:lang w:val="es-ES_tradnl"/>
        </w:rPr>
        <w:t>.</w:t>
      </w:r>
    </w:p>
    <w:p w14:paraId="73B2188C" w14:textId="7EF0EF6C" w:rsidR="00087ABF" w:rsidRPr="001C6CAB" w:rsidRDefault="00087ABF" w:rsidP="00087ABF">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854FDC">
        <w:rPr>
          <w:rFonts w:ascii="Verdana" w:hAnsi="Verdana"/>
          <w:sz w:val="20"/>
          <w:szCs w:val="20"/>
        </w:rPr>
        <w:t>65</w:t>
      </w:r>
      <w:r w:rsidRPr="001C6CAB">
        <w:rPr>
          <w:rFonts w:ascii="Verdana" w:hAnsi="Verdana"/>
          <w:sz w:val="20"/>
          <w:szCs w:val="20"/>
        </w:rPr>
        <w:t>.</w:t>
      </w:r>
    </w:p>
    <w:p w14:paraId="5B99E25A" w14:textId="39BEA860" w:rsidR="007E5CCD" w:rsidRPr="002B3025" w:rsidRDefault="002B3025" w:rsidP="007E5CCD">
      <w:pPr>
        <w:pStyle w:val="Sangradetextonormal"/>
        <w:ind w:left="0"/>
        <w:jc w:val="both"/>
        <w:rPr>
          <w:rFonts w:ascii="Verdana" w:hAnsi="Verdana" w:cs="Arial"/>
          <w:bCs/>
          <w:lang w:val="es-ES_tradnl"/>
        </w:rPr>
      </w:pPr>
      <w:r w:rsidRPr="002B3025">
        <w:rPr>
          <w:rFonts w:ascii="Verdana" w:hAnsi="Verdana" w:cs="Arial"/>
          <w:bCs/>
        </w:rPr>
        <w:t xml:space="preserve">El IRL de las SCBV, acumulado para los horizontes de 1 y 7 días calendario debe ser siempre igual o superior a 0 </w:t>
      </w:r>
      <w:r w:rsidR="00E2672B">
        <w:rPr>
          <w:rFonts w:ascii="Verdana" w:hAnsi="Verdana" w:cs="Arial"/>
          <w:bCs/>
        </w:rPr>
        <w:t>(</w:t>
      </w:r>
      <w:r w:rsidRPr="002B3025">
        <w:rPr>
          <w:rFonts w:ascii="Verdana" w:hAnsi="Verdana" w:cs="Arial"/>
          <w:bCs/>
        </w:rPr>
        <w:t>IRLm</w:t>
      </w:r>
      <w:r w:rsidR="00E2672B">
        <w:rPr>
          <w:rFonts w:ascii="Verdana" w:hAnsi="Verdana" w:cs="Arial"/>
          <w:bCs/>
        </w:rPr>
        <w:t>)</w:t>
      </w:r>
      <w:r w:rsidRPr="002B3025">
        <w:rPr>
          <w:rFonts w:ascii="Verdana" w:hAnsi="Verdana" w:cs="Arial"/>
          <w:bCs/>
        </w:rPr>
        <w:t>, y mayor o igual al 100% en el caso de la razón –IRLr</w:t>
      </w:r>
      <w:r w:rsidR="007E5CCD" w:rsidRPr="002B3025">
        <w:rPr>
          <w:rFonts w:ascii="Verdana" w:hAnsi="Verdana" w:cs="Arial"/>
          <w:bCs/>
          <w:lang w:val="es-ES_tradnl"/>
        </w:rPr>
        <w:t>.</w:t>
      </w:r>
    </w:p>
    <w:p w14:paraId="398D8717" w14:textId="5302656E" w:rsidR="007E5CCD" w:rsidRPr="001C6CAB" w:rsidRDefault="007E5CCD" w:rsidP="007E5CCD">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854FDC">
        <w:rPr>
          <w:rFonts w:ascii="Verdana" w:hAnsi="Verdana"/>
          <w:sz w:val="20"/>
          <w:szCs w:val="20"/>
        </w:rPr>
        <w:t>66</w:t>
      </w:r>
      <w:r w:rsidRPr="001C6CAB">
        <w:rPr>
          <w:rFonts w:ascii="Verdana" w:hAnsi="Verdana"/>
          <w:sz w:val="20"/>
          <w:szCs w:val="20"/>
        </w:rPr>
        <w:t>.</w:t>
      </w:r>
    </w:p>
    <w:p w14:paraId="1F009FD9" w14:textId="1D3A744B" w:rsidR="007E5CCD" w:rsidRPr="002B3025" w:rsidRDefault="007E5CCD" w:rsidP="007E5CCD">
      <w:pPr>
        <w:pStyle w:val="Sangradetextonormal"/>
        <w:ind w:left="0"/>
        <w:jc w:val="both"/>
        <w:rPr>
          <w:rFonts w:ascii="Verdana" w:hAnsi="Verdana" w:cs="Arial"/>
          <w:bCs/>
          <w:lang w:val="es-ES_tradnl"/>
        </w:rPr>
      </w:pPr>
      <w:r>
        <w:rPr>
          <w:rFonts w:ascii="Verdana" w:eastAsia="Arial" w:hAnsi="Verdana" w:cs="Arial"/>
        </w:rPr>
        <w:t>Finalmente</w:t>
      </w:r>
      <w:r w:rsidR="002B3025" w:rsidRPr="60169A51">
        <w:rPr>
          <w:rFonts w:ascii="Verdana" w:eastAsia="Arial" w:hAnsi="Verdana" w:cs="Arial"/>
        </w:rPr>
        <w:t xml:space="preserve">, en el caso del CFEN, el límite mínimo que deben cumplir los EC, organismos cooperativos de grado superior e </w:t>
      </w:r>
      <w:r w:rsidR="002B3025" w:rsidRPr="00634146">
        <w:rPr>
          <w:rFonts w:ascii="Verdana" w:eastAsia="Arial" w:hAnsi="Verdana" w:cs="Arial"/>
        </w:rPr>
        <w:t>IOE señaladas en</w:t>
      </w:r>
      <w:r w:rsidR="00E05041" w:rsidRPr="00634146">
        <w:rPr>
          <w:rFonts w:ascii="Verdana" w:eastAsia="Arial" w:hAnsi="Verdana" w:cs="Arial"/>
        </w:rPr>
        <w:t>tre los párrafos 1.1.3.155 y 1.1.3.</w:t>
      </w:r>
      <w:r w:rsidR="00634146" w:rsidRPr="00634146">
        <w:rPr>
          <w:rFonts w:ascii="Verdana" w:eastAsia="Arial" w:hAnsi="Verdana" w:cs="Arial"/>
        </w:rPr>
        <w:t>158.</w:t>
      </w:r>
      <w:r w:rsidR="002B3025" w:rsidRPr="00634146">
        <w:rPr>
          <w:rFonts w:ascii="Verdana" w:eastAsia="Arial" w:hAnsi="Verdana" w:cs="Arial"/>
        </w:rPr>
        <w:t>, se aplicará de la siguiente forma</w:t>
      </w:r>
      <w:r w:rsidR="009409A1" w:rsidRPr="00634146">
        <w:rPr>
          <w:rFonts w:ascii="Verdana" w:hAnsi="Verdana" w:cs="Arial"/>
          <w:bCs/>
          <w:lang w:val="es-ES_tradnl"/>
        </w:rPr>
        <w:t>:</w:t>
      </w:r>
    </w:p>
    <w:p w14:paraId="7522AAB2" w14:textId="77777777" w:rsidR="009409A1" w:rsidRDefault="007E5CCD" w:rsidP="00551D66">
      <w:pPr>
        <w:pStyle w:val="Sangradetextonormal"/>
        <w:numPr>
          <w:ilvl w:val="0"/>
          <w:numId w:val="43"/>
        </w:numPr>
        <w:spacing w:after="0"/>
        <w:ind w:left="567" w:hanging="567"/>
        <w:jc w:val="both"/>
        <w:rPr>
          <w:rFonts w:ascii="Verdana" w:eastAsia="Arial" w:hAnsi="Verdana" w:cs="Arial"/>
          <w:bCs/>
          <w:lang w:val="es"/>
        </w:rPr>
      </w:pPr>
      <w:r>
        <w:rPr>
          <w:rFonts w:ascii="Verdana" w:eastAsia="Arial" w:hAnsi="Verdana" w:cs="Arial"/>
          <w:bCs/>
          <w:lang w:val="es"/>
        </w:rPr>
        <w:t>Grupo 1</w:t>
      </w:r>
      <w:r w:rsidR="002B3025" w:rsidRPr="002B3025">
        <w:rPr>
          <w:rFonts w:ascii="Verdana" w:eastAsia="Arial" w:hAnsi="Verdana" w:cs="Arial"/>
          <w:bCs/>
          <w:lang w:val="es"/>
        </w:rPr>
        <w:t>: Se refiere a los establecimientos bancarios cuyos activos representen el 2% o más del total de los activos del sector bancario con corte a 31 de diciembre del año inmediatamente anterior a la fecha de corte del cálculo. Para este grupo de entidades, el CFEN debe ser siempre igual o superior al 100%.</w:t>
      </w:r>
    </w:p>
    <w:p w14:paraId="416EB141" w14:textId="77777777" w:rsidR="009409A1" w:rsidRDefault="009409A1" w:rsidP="009409A1">
      <w:pPr>
        <w:pStyle w:val="Sangradetextonormal"/>
        <w:spacing w:after="0"/>
        <w:ind w:left="567"/>
        <w:jc w:val="both"/>
        <w:rPr>
          <w:rFonts w:ascii="Verdana" w:eastAsia="Arial" w:hAnsi="Verdana" w:cs="Arial"/>
          <w:bCs/>
          <w:lang w:val="es"/>
        </w:rPr>
      </w:pPr>
    </w:p>
    <w:p w14:paraId="2B71147D" w14:textId="00A9AB11" w:rsidR="009409A1" w:rsidRPr="009409A1" w:rsidRDefault="002B3025" w:rsidP="00551D66">
      <w:pPr>
        <w:pStyle w:val="Sangradetextonormal"/>
        <w:numPr>
          <w:ilvl w:val="0"/>
          <w:numId w:val="43"/>
        </w:numPr>
        <w:spacing w:after="0"/>
        <w:ind w:left="567" w:hanging="567"/>
        <w:jc w:val="both"/>
        <w:rPr>
          <w:rFonts w:ascii="Verdana" w:eastAsia="Arial" w:hAnsi="Verdana" w:cs="Arial"/>
          <w:bCs/>
          <w:lang w:val="es"/>
        </w:rPr>
      </w:pPr>
      <w:r w:rsidRPr="009409A1">
        <w:rPr>
          <w:rFonts w:ascii="Verdana" w:eastAsia="Arial" w:hAnsi="Verdana" w:cs="Arial"/>
        </w:rPr>
        <w:t>Grupo 2: Se refiere a los establecimientos bancarios cuyos activos representen menos del 2% del total de los activos del sector bancario con corte a 31 de diciembre del año inmediatamente anterior a la fecha de corte del cálculo, las compañías de financiamiento, las corporaciones financieras, las cooperativas financieras e IOE señal</w:t>
      </w:r>
      <w:r w:rsidRPr="00147572">
        <w:rPr>
          <w:rFonts w:ascii="Verdana" w:eastAsia="Arial" w:hAnsi="Verdana" w:cs="Arial"/>
        </w:rPr>
        <w:t xml:space="preserve">adas </w:t>
      </w:r>
      <w:r w:rsidR="00634146" w:rsidRPr="00147572">
        <w:rPr>
          <w:rFonts w:ascii="Verdana" w:eastAsia="Arial" w:hAnsi="Verdana" w:cs="Arial"/>
        </w:rPr>
        <w:t>entre los párrafos 1.1.3.155 y 1.1.3.158.</w:t>
      </w:r>
      <w:r w:rsidRPr="00147572">
        <w:rPr>
          <w:rFonts w:ascii="Verdana" w:eastAsia="Arial" w:hAnsi="Verdana" w:cs="Arial"/>
        </w:rPr>
        <w:t>, siempre y cuando dichas entidades tengan como grupo de activos significativo la cartera de créditos y operaciones</w:t>
      </w:r>
      <w:r w:rsidRPr="009409A1">
        <w:rPr>
          <w:rFonts w:ascii="Verdana" w:eastAsia="Arial" w:hAnsi="Verdana" w:cs="Arial"/>
        </w:rPr>
        <w:t xml:space="preserve"> de leasing. Para este grupo de entidades, el CFEN debe ser siempre igual o superior al 80%. Sin perjuicio de lo anterior, la SFC podrá incrementar este límite hasta el 100% a cualquier entidad de este grupo, cuando derivado de los procesos de supervisión se considere necesario.</w:t>
      </w:r>
    </w:p>
    <w:p w14:paraId="2E298797" w14:textId="41282C22" w:rsidR="009409A1" w:rsidRPr="009409A1" w:rsidRDefault="009409A1" w:rsidP="009409A1">
      <w:pPr>
        <w:pStyle w:val="Sangradetextonormal"/>
        <w:spacing w:after="0"/>
        <w:ind w:left="567"/>
        <w:jc w:val="both"/>
        <w:rPr>
          <w:rFonts w:ascii="Verdana" w:eastAsia="Arial" w:hAnsi="Verdana" w:cs="Arial"/>
          <w:bCs/>
          <w:lang w:val="es"/>
        </w:rPr>
      </w:pPr>
    </w:p>
    <w:p w14:paraId="5D991B3F" w14:textId="0365552D" w:rsidR="002B3025" w:rsidRPr="00147572" w:rsidRDefault="002B3025" w:rsidP="00551D66">
      <w:pPr>
        <w:pStyle w:val="Sangradetextonormal"/>
        <w:numPr>
          <w:ilvl w:val="0"/>
          <w:numId w:val="43"/>
        </w:numPr>
        <w:spacing w:after="0"/>
        <w:ind w:left="567" w:hanging="567"/>
        <w:jc w:val="both"/>
        <w:rPr>
          <w:rFonts w:ascii="Verdana" w:eastAsia="Arial" w:hAnsi="Verdana" w:cs="Arial"/>
          <w:bCs/>
          <w:lang w:val="es"/>
        </w:rPr>
      </w:pPr>
      <w:r w:rsidRPr="009409A1">
        <w:rPr>
          <w:rFonts w:ascii="Verdana" w:eastAsia="Arial" w:hAnsi="Verdana" w:cs="Arial"/>
        </w:rPr>
        <w:t xml:space="preserve">Grupo 3: Se refiere a los establecimientos bancarios cuyos activos representen menos del 2% del total de los activos del sector bancario con corte a 31 de diciembre del año inmediatamente anterior a la fecha de corte del cálculo, las compañías de financiamiento, las corporaciones </w:t>
      </w:r>
      <w:r w:rsidRPr="00147572">
        <w:rPr>
          <w:rFonts w:ascii="Verdana" w:eastAsia="Arial" w:hAnsi="Verdana" w:cs="Arial"/>
        </w:rPr>
        <w:t xml:space="preserve">financieras, las cooperativas financieras e IOE señaladas </w:t>
      </w:r>
      <w:r w:rsidR="00147572" w:rsidRPr="00147572">
        <w:rPr>
          <w:rFonts w:ascii="Verdana" w:eastAsia="Arial" w:hAnsi="Verdana" w:cs="Arial"/>
        </w:rPr>
        <w:t>entre los párrafos 1.1.3.155 y 1.1.3.158.</w:t>
      </w:r>
      <w:r w:rsidRPr="00147572">
        <w:rPr>
          <w:rFonts w:ascii="Verdana" w:eastAsia="Arial" w:hAnsi="Verdana" w:cs="Arial"/>
        </w:rPr>
        <w:t xml:space="preserve">, siempre y </w:t>
      </w:r>
      <w:r w:rsidRPr="00147572">
        <w:rPr>
          <w:rFonts w:ascii="Verdana" w:eastAsia="Arial" w:hAnsi="Verdana" w:cs="Arial"/>
        </w:rPr>
        <w:lastRenderedPageBreak/>
        <w:t>cuando dichas entidades tengan como grupo de activos significativo inversiones y operaciones con derivados. Para este grupo, el nivel de CFEN será de carácter informativo para la SFC.</w:t>
      </w:r>
    </w:p>
    <w:p w14:paraId="0E9F8CC3" w14:textId="77777777" w:rsidR="00B16FCD" w:rsidRDefault="00B16FCD" w:rsidP="00DD58A2">
      <w:pPr>
        <w:pStyle w:val="Sangradetextonormal"/>
        <w:tabs>
          <w:tab w:val="right" w:pos="540"/>
        </w:tabs>
        <w:spacing w:after="0"/>
        <w:ind w:left="0"/>
        <w:jc w:val="both"/>
        <w:rPr>
          <w:rFonts w:ascii="Verdana" w:hAnsi="Verdana" w:cs="Arial"/>
          <w:bCs/>
        </w:rPr>
      </w:pPr>
    </w:p>
    <w:p w14:paraId="71310EE3" w14:textId="434A25F9" w:rsidR="002B3025" w:rsidRPr="00DD58A2" w:rsidRDefault="002B3025" w:rsidP="00551D66">
      <w:pPr>
        <w:pStyle w:val="Sangradetextonormal"/>
        <w:numPr>
          <w:ilvl w:val="0"/>
          <w:numId w:val="39"/>
        </w:numPr>
        <w:tabs>
          <w:tab w:val="right" w:pos="540"/>
        </w:tabs>
        <w:spacing w:after="0"/>
        <w:ind w:left="284" w:hanging="284"/>
        <w:jc w:val="both"/>
        <w:rPr>
          <w:rFonts w:ascii="Verdana" w:hAnsi="Verdana" w:cs="Arial"/>
          <w:b/>
          <w:lang w:val="es-ES_tradnl"/>
        </w:rPr>
      </w:pPr>
      <w:r w:rsidRPr="00DD58A2">
        <w:rPr>
          <w:rFonts w:ascii="Verdana" w:hAnsi="Verdana" w:cs="Arial"/>
          <w:b/>
          <w:lang w:val="es-ES_tradnl"/>
        </w:rPr>
        <w:t>Exposición significativa al riesgo de liquidez</w:t>
      </w:r>
    </w:p>
    <w:p w14:paraId="71BA764F" w14:textId="77777777" w:rsidR="00B16FCD" w:rsidRDefault="00B16FCD" w:rsidP="00DD58A2">
      <w:pPr>
        <w:spacing w:after="0"/>
        <w:rPr>
          <w:rFonts w:ascii="Verdana" w:hAnsi="Verdana"/>
          <w:sz w:val="20"/>
          <w:szCs w:val="20"/>
        </w:rPr>
      </w:pPr>
    </w:p>
    <w:p w14:paraId="58A1213C" w14:textId="6D298409" w:rsidR="00DD58A2" w:rsidRPr="001C6CAB" w:rsidRDefault="00DD58A2" w:rsidP="00DD58A2">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854FDC">
        <w:rPr>
          <w:rFonts w:ascii="Verdana" w:hAnsi="Verdana"/>
          <w:sz w:val="20"/>
          <w:szCs w:val="20"/>
        </w:rPr>
        <w:t>67</w:t>
      </w:r>
      <w:r w:rsidRPr="001C6CAB">
        <w:rPr>
          <w:rFonts w:ascii="Verdana" w:hAnsi="Verdana"/>
          <w:sz w:val="20"/>
          <w:szCs w:val="20"/>
        </w:rPr>
        <w:t>.</w:t>
      </w:r>
    </w:p>
    <w:p w14:paraId="7EBE2317" w14:textId="3D34C883" w:rsidR="002B3025" w:rsidRPr="002B3025" w:rsidRDefault="002B3025" w:rsidP="00DD58A2">
      <w:pPr>
        <w:pStyle w:val="Sangradetextonormal"/>
        <w:ind w:left="0"/>
        <w:jc w:val="both"/>
        <w:rPr>
          <w:rFonts w:ascii="Verdana" w:hAnsi="Verdana" w:cs="Arial"/>
          <w:bCs/>
        </w:rPr>
      </w:pPr>
      <w:r w:rsidRPr="002B3025">
        <w:rPr>
          <w:rFonts w:ascii="Verdana" w:hAnsi="Verdana" w:cs="Arial"/>
          <w:bCs/>
        </w:rPr>
        <w:t xml:space="preserve">Se considera que alguna de las entidades señaladas </w:t>
      </w:r>
      <w:r w:rsidR="005751C8" w:rsidRPr="00634146">
        <w:rPr>
          <w:rFonts w:ascii="Verdana" w:eastAsia="Arial" w:hAnsi="Verdana" w:cs="Arial"/>
        </w:rPr>
        <w:t>entre los párrafos 1.1.3.155 y 1.1.3.158.</w:t>
      </w:r>
      <w:r w:rsidR="005751C8">
        <w:rPr>
          <w:rFonts w:ascii="Verdana" w:eastAsia="Arial" w:hAnsi="Verdana" w:cs="Arial"/>
        </w:rPr>
        <w:t xml:space="preserve"> </w:t>
      </w:r>
      <w:r w:rsidRPr="002B3025">
        <w:rPr>
          <w:rFonts w:ascii="Verdana" w:hAnsi="Verdana" w:cs="Arial"/>
          <w:bCs/>
        </w:rPr>
        <w:t xml:space="preserve">registra una exposición significativa al riesgo de liquidez cuando en un determinado reporte semanal el IRLm a 7 o 30 días </w:t>
      </w:r>
      <w:r w:rsidR="0049410B">
        <w:rPr>
          <w:rFonts w:ascii="Verdana" w:hAnsi="Verdana" w:cs="Arial"/>
          <w:bCs/>
        </w:rPr>
        <w:t>s</w:t>
      </w:r>
      <w:r w:rsidRPr="002B3025">
        <w:rPr>
          <w:rFonts w:ascii="Verdana" w:hAnsi="Verdana" w:cs="Arial"/>
          <w:bCs/>
        </w:rPr>
        <w:t>e</w:t>
      </w:r>
      <w:r w:rsidR="0049410B">
        <w:rPr>
          <w:rFonts w:ascii="Verdana" w:hAnsi="Verdana" w:cs="Arial"/>
          <w:bCs/>
        </w:rPr>
        <w:t>a</w:t>
      </w:r>
      <w:r w:rsidRPr="002B3025">
        <w:rPr>
          <w:rFonts w:ascii="Verdana" w:hAnsi="Verdana" w:cs="Arial"/>
          <w:bCs/>
        </w:rPr>
        <w:t xml:space="preserve"> negativo </w:t>
      </w:r>
      <w:r w:rsidRPr="002B3025">
        <w:rPr>
          <w:rFonts w:ascii="Verdana" w:eastAsia="Arial" w:hAnsi="Verdana" w:cs="Arial"/>
          <w:bCs/>
          <w:lang w:val="es"/>
        </w:rPr>
        <w:t>o cuando en un determinado reporte mensual el indicador CFEN sea inferior al mínimo establecido para el respectivo grupo</w:t>
      </w:r>
      <w:r w:rsidRPr="002B3025">
        <w:rPr>
          <w:rFonts w:ascii="Verdana" w:hAnsi="Verdana" w:cs="Arial"/>
          <w:bCs/>
        </w:rPr>
        <w:t>.</w:t>
      </w:r>
    </w:p>
    <w:p w14:paraId="2A5F66D8" w14:textId="5C8A7847" w:rsidR="00DD58A2" w:rsidRPr="001C6CAB" w:rsidRDefault="00DD58A2" w:rsidP="00DD58A2">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854FDC">
        <w:rPr>
          <w:rFonts w:ascii="Verdana" w:hAnsi="Verdana"/>
          <w:sz w:val="20"/>
          <w:szCs w:val="20"/>
        </w:rPr>
        <w:t>68</w:t>
      </w:r>
      <w:r w:rsidRPr="001C6CAB">
        <w:rPr>
          <w:rFonts w:ascii="Verdana" w:hAnsi="Verdana"/>
          <w:sz w:val="20"/>
          <w:szCs w:val="20"/>
        </w:rPr>
        <w:t>.</w:t>
      </w:r>
    </w:p>
    <w:p w14:paraId="497525AE" w14:textId="77777777" w:rsidR="00B16FCD" w:rsidRPr="002B3025" w:rsidRDefault="002B3025" w:rsidP="00B16FCD">
      <w:pPr>
        <w:pStyle w:val="Sangradetextonormal"/>
        <w:ind w:left="0"/>
        <w:jc w:val="both"/>
        <w:rPr>
          <w:rFonts w:ascii="Verdana" w:hAnsi="Verdana" w:cs="Arial"/>
          <w:bCs/>
        </w:rPr>
      </w:pPr>
      <w:r w:rsidRPr="002B3025">
        <w:rPr>
          <w:rFonts w:ascii="Verdana" w:hAnsi="Verdana" w:cs="Arial"/>
          <w:bCs/>
        </w:rPr>
        <w:t>En el caso de las SCBV se considera que una entidad presenta una exposición significativa al riesgo de liquidez cuando en un determinado reporte el IRLm a 1 día o 7 días, sea negativo</w:t>
      </w:r>
      <w:r w:rsidR="00B16FCD" w:rsidRPr="002B3025">
        <w:rPr>
          <w:rFonts w:ascii="Verdana" w:hAnsi="Verdana" w:cs="Arial"/>
          <w:bCs/>
        </w:rPr>
        <w:t>.</w:t>
      </w:r>
    </w:p>
    <w:p w14:paraId="2E3350B7" w14:textId="1EFF1183" w:rsidR="00B16FCD" w:rsidRPr="001C6CAB" w:rsidRDefault="00B16FCD" w:rsidP="00B16FCD">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854FDC">
        <w:rPr>
          <w:rFonts w:ascii="Verdana" w:hAnsi="Verdana"/>
          <w:sz w:val="20"/>
          <w:szCs w:val="20"/>
        </w:rPr>
        <w:t>69</w:t>
      </w:r>
      <w:r w:rsidRPr="001C6CAB">
        <w:rPr>
          <w:rFonts w:ascii="Verdana" w:hAnsi="Verdana"/>
          <w:sz w:val="20"/>
          <w:szCs w:val="20"/>
        </w:rPr>
        <w:t>.</w:t>
      </w:r>
    </w:p>
    <w:p w14:paraId="3B730872" w14:textId="64435EB3" w:rsidR="002B3025" w:rsidRPr="003027BE" w:rsidRDefault="00B16FCD" w:rsidP="00B16FCD">
      <w:pPr>
        <w:pStyle w:val="Sangradetextonormal"/>
        <w:ind w:left="0"/>
        <w:jc w:val="both"/>
        <w:rPr>
          <w:rFonts w:ascii="Verdana" w:hAnsi="Verdana" w:cs="Arial"/>
        </w:rPr>
      </w:pPr>
      <w:r w:rsidRPr="002B3025">
        <w:rPr>
          <w:rFonts w:ascii="Verdana" w:hAnsi="Verdana" w:cs="Arial"/>
          <w:bCs/>
        </w:rPr>
        <w:t xml:space="preserve">En el </w:t>
      </w:r>
      <w:r w:rsidR="002B3025" w:rsidRPr="12B437D6">
        <w:rPr>
          <w:rFonts w:ascii="Verdana" w:hAnsi="Verdana" w:cs="Arial"/>
        </w:rPr>
        <w:t xml:space="preserve">caso de los FIC abiertos sin pacto de permanencia se considera que un FIC presenta una exposición significativa al riesgo de liquidez cuando en la medición diaria se evidencia el incumplimiento </w:t>
      </w:r>
      <w:r w:rsidR="002B3025" w:rsidRPr="003027BE">
        <w:rPr>
          <w:rFonts w:ascii="Verdana" w:hAnsi="Verdana" w:cs="Arial"/>
        </w:rPr>
        <w:t>de alguno de los límites descritos en</w:t>
      </w:r>
      <w:r w:rsidR="003914BB">
        <w:rPr>
          <w:rFonts w:ascii="Verdana" w:hAnsi="Verdana" w:cs="Arial"/>
        </w:rPr>
        <w:t>tre los párrafos</w:t>
      </w:r>
      <w:r w:rsidR="00A24BB6">
        <w:rPr>
          <w:rFonts w:ascii="Verdana" w:hAnsi="Verdana" w:cs="Arial"/>
        </w:rPr>
        <w:t xml:space="preserve"> 1.1.A11.25. y 1.1.A11.31. de la </w:t>
      </w:r>
      <w:r w:rsidR="006317A5">
        <w:rPr>
          <w:rFonts w:ascii="Verdana" w:hAnsi="Verdana" w:cs="Arial"/>
        </w:rPr>
        <w:t>CBF</w:t>
      </w:r>
      <w:r w:rsidR="002B3025" w:rsidRPr="003027BE">
        <w:rPr>
          <w:rFonts w:ascii="Verdana" w:hAnsi="Verdana" w:cs="Arial"/>
        </w:rPr>
        <w:t>.</w:t>
      </w:r>
    </w:p>
    <w:p w14:paraId="108B0A62" w14:textId="2143A449" w:rsidR="00DD58A2" w:rsidRPr="001C6CAB" w:rsidRDefault="00DD58A2" w:rsidP="00DD58A2">
      <w:pPr>
        <w:spacing w:after="0"/>
        <w:rPr>
          <w:rFonts w:ascii="Verdana" w:hAnsi="Verdana"/>
          <w:sz w:val="20"/>
          <w:szCs w:val="20"/>
        </w:rPr>
      </w:pPr>
      <w:r w:rsidRPr="003027BE">
        <w:rPr>
          <w:rFonts w:ascii="Verdana" w:hAnsi="Verdana"/>
          <w:sz w:val="20"/>
          <w:szCs w:val="20"/>
        </w:rPr>
        <w:t>1.1.3.1</w:t>
      </w:r>
      <w:r w:rsidR="00854FDC" w:rsidRPr="003027BE">
        <w:rPr>
          <w:rFonts w:ascii="Verdana" w:hAnsi="Verdana"/>
          <w:sz w:val="20"/>
          <w:szCs w:val="20"/>
        </w:rPr>
        <w:t>70</w:t>
      </w:r>
      <w:r w:rsidRPr="003027BE">
        <w:rPr>
          <w:rFonts w:ascii="Verdana" w:hAnsi="Verdana"/>
          <w:sz w:val="20"/>
          <w:szCs w:val="20"/>
        </w:rPr>
        <w:t>.</w:t>
      </w:r>
    </w:p>
    <w:p w14:paraId="785C0DC6" w14:textId="7E2C0C64" w:rsidR="002B3025" w:rsidRPr="002B3025" w:rsidRDefault="002B3025" w:rsidP="12B437D6">
      <w:pPr>
        <w:jc w:val="both"/>
        <w:rPr>
          <w:rFonts w:ascii="Verdana" w:hAnsi="Verdana" w:cs="Arial"/>
          <w:sz w:val="20"/>
          <w:szCs w:val="20"/>
        </w:rPr>
      </w:pPr>
      <w:r w:rsidRPr="12B437D6">
        <w:rPr>
          <w:rFonts w:ascii="Verdana" w:hAnsi="Verdana" w:cs="Arial"/>
          <w:sz w:val="20"/>
          <w:szCs w:val="20"/>
        </w:rPr>
        <w:t>Adicionalmente, mientras se mantenga la exposición significativa al riesgo de liquidez la entidad debe enviar diariamente un reporte de la situación del IRL para los diferentes horizontes de tiempo, a través del formato “Flujo de caja contractuales y medición de estándar de riesgo de liquidez” Formato 458</w:t>
      </w:r>
      <w:r w:rsidRPr="12B437D6">
        <w:rPr>
          <w:rFonts w:ascii="Verdana" w:eastAsia="Arial" w:hAnsi="Verdana" w:cs="Arial"/>
          <w:sz w:val="20"/>
          <w:szCs w:val="20"/>
        </w:rPr>
        <w:t xml:space="preserve"> o del formato “Modelo Estándar Riesgo de Liquidez Fondos de Inversión Colectiva –</w:t>
      </w:r>
      <w:r w:rsidR="000757BC">
        <w:rPr>
          <w:rFonts w:ascii="Verdana" w:eastAsia="Arial" w:hAnsi="Verdana" w:cs="Arial"/>
          <w:sz w:val="20"/>
          <w:szCs w:val="20"/>
        </w:rPr>
        <w:t xml:space="preserve"> </w:t>
      </w:r>
      <w:r w:rsidRPr="12B437D6">
        <w:rPr>
          <w:rFonts w:ascii="Verdana" w:eastAsia="Arial" w:hAnsi="Verdana" w:cs="Arial"/>
          <w:sz w:val="20"/>
          <w:szCs w:val="20"/>
        </w:rPr>
        <w:t>FICs Abiertos sin Pacto de Permanencia” Formato 519, según corresponda</w:t>
      </w:r>
      <w:r w:rsidRPr="12B437D6">
        <w:rPr>
          <w:rFonts w:ascii="Verdana" w:hAnsi="Verdana" w:cs="Arial"/>
          <w:sz w:val="20"/>
          <w:szCs w:val="20"/>
        </w:rPr>
        <w:t>.</w:t>
      </w:r>
    </w:p>
    <w:p w14:paraId="30153A9E" w14:textId="4BC8E726" w:rsidR="002B3025" w:rsidRPr="00B16FCD" w:rsidRDefault="002B3025" w:rsidP="00C61421">
      <w:pPr>
        <w:pStyle w:val="Sangradetextonormal"/>
        <w:numPr>
          <w:ilvl w:val="0"/>
          <w:numId w:val="40"/>
        </w:numPr>
        <w:ind w:left="567" w:hanging="283"/>
        <w:jc w:val="both"/>
        <w:rPr>
          <w:rFonts w:ascii="Verdana" w:hAnsi="Verdana" w:cs="Arial"/>
          <w:b/>
        </w:rPr>
      </w:pPr>
      <w:r w:rsidRPr="0003109D">
        <w:rPr>
          <w:rFonts w:ascii="Verdana" w:hAnsi="Verdana" w:cs="Arial"/>
          <w:b/>
        </w:rPr>
        <w:t>Medidas prudenciales para contrarrestar la exposición significativa al riesgo de liquidez de los EC</w:t>
      </w:r>
    </w:p>
    <w:p w14:paraId="4C8040B7" w14:textId="09DA895E" w:rsidR="0003109D" w:rsidRPr="001C6CAB" w:rsidRDefault="0003109D" w:rsidP="0003109D">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854FDC">
        <w:rPr>
          <w:rFonts w:ascii="Verdana" w:hAnsi="Verdana"/>
          <w:sz w:val="20"/>
          <w:szCs w:val="20"/>
        </w:rPr>
        <w:t>71</w:t>
      </w:r>
      <w:r w:rsidRPr="001C6CAB">
        <w:rPr>
          <w:rFonts w:ascii="Verdana" w:hAnsi="Verdana"/>
          <w:sz w:val="20"/>
          <w:szCs w:val="20"/>
        </w:rPr>
        <w:t>.</w:t>
      </w:r>
    </w:p>
    <w:p w14:paraId="39769D6F" w14:textId="6E5C926E" w:rsidR="002B3025" w:rsidRPr="002B3025" w:rsidRDefault="002B3025" w:rsidP="00B929BB">
      <w:pPr>
        <w:pStyle w:val="Textoindependiente2"/>
        <w:spacing w:after="0" w:line="240" w:lineRule="auto"/>
        <w:jc w:val="both"/>
        <w:rPr>
          <w:rFonts w:ascii="Verdana" w:hAnsi="Verdana" w:cs="Arial"/>
          <w:bCs/>
        </w:rPr>
      </w:pPr>
      <w:r w:rsidRPr="002B3025">
        <w:rPr>
          <w:rFonts w:ascii="Verdana" w:hAnsi="Verdana" w:cs="Arial"/>
          <w:bCs/>
        </w:rPr>
        <w:t xml:space="preserve">Cuando una entidad advierta que presenta una exposición significativa al riesgo de liquidez, </w:t>
      </w:r>
      <w:r w:rsidR="005A1FF8">
        <w:rPr>
          <w:rFonts w:ascii="Verdana" w:hAnsi="Verdana" w:cs="Arial"/>
          <w:bCs/>
        </w:rPr>
        <w:t xml:space="preserve">el </w:t>
      </w:r>
      <w:r w:rsidRPr="002B3025">
        <w:rPr>
          <w:rFonts w:ascii="Verdana" w:hAnsi="Verdana" w:cs="Arial"/>
          <w:bCs/>
        </w:rPr>
        <w:t>representante legal de la entidad debe informar por escrito de manera inmediata a la SFC, los siguientes aspectos:</w:t>
      </w:r>
    </w:p>
    <w:p w14:paraId="16828398" w14:textId="77777777" w:rsidR="002B3025" w:rsidRPr="002B3025" w:rsidRDefault="002B3025" w:rsidP="00B929BB">
      <w:pPr>
        <w:pStyle w:val="Textoindependiente2"/>
        <w:spacing w:after="0" w:line="240" w:lineRule="auto"/>
        <w:jc w:val="both"/>
        <w:rPr>
          <w:rFonts w:ascii="Verdana" w:hAnsi="Verdana" w:cs="Arial"/>
          <w:bCs/>
        </w:rPr>
      </w:pPr>
    </w:p>
    <w:p w14:paraId="27FF10A6" w14:textId="7DAC040F" w:rsidR="002B3025" w:rsidRDefault="002B3025" w:rsidP="00551D66">
      <w:pPr>
        <w:pStyle w:val="Prrafodelista"/>
        <w:numPr>
          <w:ilvl w:val="0"/>
          <w:numId w:val="25"/>
        </w:numPr>
        <w:spacing w:after="0" w:line="240" w:lineRule="auto"/>
        <w:ind w:left="567" w:hanging="567"/>
        <w:jc w:val="both"/>
        <w:rPr>
          <w:rFonts w:ascii="Verdana" w:hAnsi="Verdana" w:cs="Arial"/>
          <w:sz w:val="20"/>
          <w:szCs w:val="20"/>
        </w:rPr>
      </w:pPr>
      <w:r w:rsidRPr="12B437D6">
        <w:rPr>
          <w:rFonts w:ascii="Verdana" w:hAnsi="Verdana" w:cs="Arial"/>
          <w:sz w:val="20"/>
          <w:szCs w:val="20"/>
        </w:rPr>
        <w:t xml:space="preserve">Las razones fundamentales que, de acuerdo con el análisis de la </w:t>
      </w:r>
      <w:r w:rsidR="00073A53">
        <w:rPr>
          <w:rFonts w:ascii="Verdana" w:hAnsi="Verdana" w:cs="Arial"/>
          <w:sz w:val="20"/>
          <w:szCs w:val="20"/>
        </w:rPr>
        <w:t>entidad</w:t>
      </w:r>
      <w:r w:rsidRPr="12B437D6">
        <w:rPr>
          <w:rFonts w:ascii="Verdana" w:hAnsi="Verdana" w:cs="Arial"/>
          <w:sz w:val="20"/>
          <w:szCs w:val="20"/>
        </w:rPr>
        <w:t>, originaron la caída del IRL a 7 o 30 días por debajo del límite establecido.</w:t>
      </w:r>
    </w:p>
    <w:p w14:paraId="18BE8737" w14:textId="77777777" w:rsidR="00845771" w:rsidRPr="00845771" w:rsidRDefault="00845771" w:rsidP="00845771">
      <w:pPr>
        <w:pStyle w:val="Prrafodelista"/>
        <w:spacing w:after="0" w:line="240" w:lineRule="auto"/>
        <w:ind w:left="567"/>
        <w:jc w:val="both"/>
        <w:rPr>
          <w:rFonts w:ascii="Verdana" w:hAnsi="Verdana" w:cs="Arial"/>
          <w:bCs/>
          <w:sz w:val="20"/>
          <w:szCs w:val="20"/>
        </w:rPr>
      </w:pPr>
    </w:p>
    <w:p w14:paraId="331E112A" w14:textId="77777777" w:rsidR="002B3025" w:rsidRDefault="002B3025" w:rsidP="00551D66">
      <w:pPr>
        <w:pStyle w:val="Prrafodelista"/>
        <w:numPr>
          <w:ilvl w:val="0"/>
          <w:numId w:val="25"/>
        </w:numPr>
        <w:spacing w:after="0" w:line="240" w:lineRule="auto"/>
        <w:ind w:left="567" w:hanging="567"/>
        <w:jc w:val="both"/>
        <w:rPr>
          <w:rFonts w:ascii="Verdana" w:hAnsi="Verdana" w:cs="Arial"/>
          <w:bCs/>
          <w:sz w:val="20"/>
          <w:szCs w:val="20"/>
        </w:rPr>
      </w:pPr>
      <w:r w:rsidRPr="00845771">
        <w:rPr>
          <w:rFonts w:ascii="Verdana" w:hAnsi="Verdana" w:cs="Arial"/>
          <w:bCs/>
          <w:sz w:val="20"/>
          <w:szCs w:val="20"/>
        </w:rPr>
        <w:t>El carácter coyuntural o duradero de tal situación y su correspondiente justificación.</w:t>
      </w:r>
    </w:p>
    <w:p w14:paraId="6B54D68E" w14:textId="77777777" w:rsidR="00845771" w:rsidRPr="00845771" w:rsidRDefault="00845771" w:rsidP="00845771">
      <w:pPr>
        <w:pStyle w:val="Prrafodelista"/>
        <w:rPr>
          <w:rFonts w:ascii="Verdana" w:hAnsi="Verdana" w:cs="Arial"/>
          <w:bCs/>
          <w:sz w:val="20"/>
          <w:szCs w:val="20"/>
        </w:rPr>
      </w:pPr>
    </w:p>
    <w:p w14:paraId="4A2777B9" w14:textId="5D1FDDBB" w:rsidR="002B3025" w:rsidRDefault="002B3025" w:rsidP="00551D66">
      <w:pPr>
        <w:pStyle w:val="Prrafodelista"/>
        <w:numPr>
          <w:ilvl w:val="0"/>
          <w:numId w:val="25"/>
        </w:numPr>
        <w:spacing w:after="0" w:line="240" w:lineRule="auto"/>
        <w:ind w:left="567" w:hanging="567"/>
        <w:jc w:val="both"/>
        <w:rPr>
          <w:rFonts w:ascii="Verdana" w:hAnsi="Verdana" w:cs="Arial"/>
          <w:bCs/>
          <w:sz w:val="20"/>
          <w:szCs w:val="20"/>
        </w:rPr>
      </w:pPr>
      <w:r w:rsidRPr="00845771">
        <w:rPr>
          <w:rFonts w:ascii="Verdana" w:hAnsi="Verdana" w:cs="Arial"/>
          <w:bCs/>
          <w:sz w:val="20"/>
          <w:szCs w:val="20"/>
        </w:rPr>
        <w:t>Las medidas que la entidad adopte para afrontar la situación y restablecer el IRL a un valor superior 1,1 veces el límite aplicable a la banda correspondiente, en un plazo no mayor al próximo corte de la información</w:t>
      </w:r>
      <w:r w:rsidR="00D45707">
        <w:rPr>
          <w:rFonts w:ascii="Verdana" w:hAnsi="Verdana" w:cs="Arial"/>
          <w:bCs/>
          <w:sz w:val="20"/>
          <w:szCs w:val="20"/>
        </w:rPr>
        <w:t>:</w:t>
      </w:r>
      <w:r w:rsidRPr="00845771">
        <w:rPr>
          <w:rFonts w:ascii="Verdana" w:hAnsi="Verdana" w:cs="Arial"/>
          <w:bCs/>
          <w:sz w:val="20"/>
          <w:szCs w:val="20"/>
        </w:rPr>
        <w:t xml:space="preserve"> para el caso del reporte del IRL a 7 días, o al segundo corte de información para el caso del reporte del IRL a 30 días.</w:t>
      </w:r>
    </w:p>
    <w:p w14:paraId="1DC2D49D" w14:textId="77777777" w:rsidR="00845771" w:rsidRPr="006427A0" w:rsidRDefault="00845771" w:rsidP="006427A0">
      <w:pPr>
        <w:spacing w:after="0" w:line="240" w:lineRule="auto"/>
        <w:jc w:val="both"/>
        <w:rPr>
          <w:rFonts w:ascii="Verdana" w:hAnsi="Verdana" w:cs="Arial"/>
          <w:bCs/>
          <w:sz w:val="20"/>
          <w:szCs w:val="20"/>
        </w:rPr>
      </w:pPr>
    </w:p>
    <w:p w14:paraId="1FB3FDEF" w14:textId="4C89C6C7" w:rsidR="00845771" w:rsidRPr="001C6CAB" w:rsidRDefault="00845771" w:rsidP="00845771">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854FDC">
        <w:rPr>
          <w:rFonts w:ascii="Verdana" w:hAnsi="Verdana"/>
          <w:sz w:val="20"/>
          <w:szCs w:val="20"/>
        </w:rPr>
        <w:t>72</w:t>
      </w:r>
      <w:r w:rsidRPr="001C6CAB">
        <w:rPr>
          <w:rFonts w:ascii="Verdana" w:hAnsi="Verdana"/>
          <w:sz w:val="20"/>
          <w:szCs w:val="20"/>
        </w:rPr>
        <w:t>.</w:t>
      </w:r>
    </w:p>
    <w:p w14:paraId="23C030AC" w14:textId="28F908BF" w:rsidR="002B3025" w:rsidRPr="002B3025" w:rsidRDefault="002B3025" w:rsidP="00B929BB">
      <w:pPr>
        <w:pStyle w:val="Textoindependiente2"/>
        <w:spacing w:after="0" w:line="240" w:lineRule="auto"/>
        <w:jc w:val="both"/>
        <w:rPr>
          <w:rFonts w:ascii="Verdana" w:hAnsi="Verdana" w:cs="Arial"/>
          <w:bCs/>
        </w:rPr>
      </w:pPr>
      <w:r w:rsidRPr="002B3025">
        <w:rPr>
          <w:rFonts w:ascii="Verdana" w:hAnsi="Verdana" w:cs="Arial"/>
          <w:bCs/>
        </w:rPr>
        <w:t>Adicionalmente, mientras se mantenga la exposición significativa al riesgo de liquidez la entidad debe enviar diariamente a la SFC un reporte de la situación del IRL para los diferentes horizontes de tiempo, a través del formato 458, Proforma F.1000-125, o el que resulte aplicable.</w:t>
      </w:r>
    </w:p>
    <w:p w14:paraId="1F17F175" w14:textId="77777777" w:rsidR="002B3025" w:rsidRDefault="002B3025" w:rsidP="00B929BB">
      <w:pPr>
        <w:pStyle w:val="Textoindependiente2"/>
        <w:spacing w:after="0" w:line="240" w:lineRule="auto"/>
        <w:jc w:val="both"/>
        <w:rPr>
          <w:rFonts w:ascii="Verdana" w:hAnsi="Verdana" w:cs="Arial"/>
          <w:bCs/>
        </w:rPr>
      </w:pPr>
    </w:p>
    <w:p w14:paraId="0CE7DB55" w14:textId="6914EDEC" w:rsidR="00845771" w:rsidRPr="001C6CAB" w:rsidRDefault="00845771" w:rsidP="00845771">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854FDC">
        <w:rPr>
          <w:rFonts w:ascii="Verdana" w:hAnsi="Verdana"/>
          <w:sz w:val="20"/>
          <w:szCs w:val="20"/>
        </w:rPr>
        <w:t>73</w:t>
      </w:r>
      <w:r w:rsidRPr="001C6CAB">
        <w:rPr>
          <w:rFonts w:ascii="Verdana" w:hAnsi="Verdana"/>
          <w:sz w:val="20"/>
          <w:szCs w:val="20"/>
        </w:rPr>
        <w:t>.</w:t>
      </w:r>
    </w:p>
    <w:p w14:paraId="7496C71B" w14:textId="25A33BFB" w:rsidR="002B3025" w:rsidRPr="002B3025" w:rsidRDefault="002B3025" w:rsidP="00B929BB">
      <w:pPr>
        <w:pStyle w:val="Textoindependiente2"/>
        <w:spacing w:after="0" w:line="240" w:lineRule="auto"/>
        <w:jc w:val="both"/>
        <w:rPr>
          <w:rFonts w:ascii="Verdana" w:hAnsi="Verdana" w:cs="Arial"/>
        </w:rPr>
      </w:pPr>
      <w:r w:rsidRPr="163C8172">
        <w:rPr>
          <w:rFonts w:ascii="Verdana" w:eastAsia="Arial" w:hAnsi="Verdana" w:cs="Arial"/>
        </w:rPr>
        <w:t xml:space="preserve">Por otro lado, cuando la entidad advierta que su CFEN es inferior al mínimo establecido según el grupo al cual pertenece, </w:t>
      </w:r>
      <w:r w:rsidR="000B3F04" w:rsidRPr="163C8172">
        <w:rPr>
          <w:rFonts w:ascii="Verdana" w:eastAsia="Arial" w:hAnsi="Verdana" w:cs="Arial"/>
        </w:rPr>
        <w:t>el</w:t>
      </w:r>
      <w:r w:rsidRPr="163C8172">
        <w:rPr>
          <w:rFonts w:ascii="Verdana" w:eastAsia="Arial" w:hAnsi="Verdana" w:cs="Arial"/>
        </w:rPr>
        <w:t xml:space="preserve"> </w:t>
      </w:r>
      <w:r w:rsidR="00134D28" w:rsidRPr="163C8172">
        <w:rPr>
          <w:rFonts w:ascii="Verdana" w:eastAsia="Arial" w:hAnsi="Verdana" w:cs="Arial"/>
        </w:rPr>
        <w:t>r</w:t>
      </w:r>
      <w:r w:rsidRPr="163C8172">
        <w:rPr>
          <w:rFonts w:ascii="Verdana" w:eastAsia="Arial" w:hAnsi="Verdana" w:cs="Arial"/>
        </w:rPr>
        <w:t xml:space="preserve">epresentante </w:t>
      </w:r>
      <w:r w:rsidR="00134D28" w:rsidRPr="163C8172">
        <w:rPr>
          <w:rFonts w:ascii="Verdana" w:eastAsia="Arial" w:hAnsi="Verdana" w:cs="Arial"/>
        </w:rPr>
        <w:t>l</w:t>
      </w:r>
      <w:r w:rsidRPr="163C8172">
        <w:rPr>
          <w:rFonts w:ascii="Verdana" w:eastAsia="Arial" w:hAnsi="Verdana" w:cs="Arial"/>
        </w:rPr>
        <w:t xml:space="preserve">egal </w:t>
      </w:r>
      <w:r w:rsidR="00134D28" w:rsidRPr="163C8172">
        <w:rPr>
          <w:rFonts w:ascii="Verdana" w:eastAsia="Arial" w:hAnsi="Verdana" w:cs="Arial"/>
        </w:rPr>
        <w:t xml:space="preserve">de la entidad </w:t>
      </w:r>
      <w:r w:rsidRPr="163C8172">
        <w:rPr>
          <w:rFonts w:ascii="Verdana" w:eastAsia="Arial" w:hAnsi="Verdana" w:cs="Arial"/>
        </w:rPr>
        <w:t xml:space="preserve">debe informar por escrito de manera inmediata a la SFC las razones que, de acuerdo con su análisis, originaron la caída del indicador por debajo del límite establecido. Igualmente, debe informar el carácter coyuntural o duradero de tal situación y las acciones y/o medidas que la entidad adoptará para afrontar la situación y restablecer el CFEN a un nivel correspondiente por lo menos al mínimo establecido más 1 punto porcentual, en un plazo </w:t>
      </w:r>
      <w:r w:rsidRPr="163C8172">
        <w:rPr>
          <w:rFonts w:ascii="Verdana" w:eastAsia="Arial" w:hAnsi="Verdana" w:cs="Arial"/>
        </w:rPr>
        <w:lastRenderedPageBreak/>
        <w:t>no mayor a 6 meses contados a partir de la fecha de corte de información en la que se evidenció la caída del indicador. Este plazo podrá ser prorrogado máximo por otros 3 meses cuando exista una solicitud motivada por parte de la entidad.</w:t>
      </w:r>
    </w:p>
    <w:p w14:paraId="57613A16" w14:textId="77777777" w:rsidR="002B3025" w:rsidRPr="002B3025" w:rsidRDefault="002B3025" w:rsidP="00B929BB">
      <w:pPr>
        <w:pStyle w:val="Textoindependiente2"/>
        <w:spacing w:after="0" w:line="240" w:lineRule="auto"/>
        <w:jc w:val="both"/>
        <w:rPr>
          <w:rFonts w:ascii="Verdana" w:hAnsi="Verdana" w:cs="Arial"/>
          <w:bCs/>
        </w:rPr>
      </w:pPr>
    </w:p>
    <w:p w14:paraId="02934B4F" w14:textId="3CBF6C32" w:rsidR="002B3025" w:rsidRPr="006427A0" w:rsidRDefault="002B3025" w:rsidP="00153724">
      <w:pPr>
        <w:pStyle w:val="Sangradetextonormal"/>
        <w:numPr>
          <w:ilvl w:val="0"/>
          <w:numId w:val="40"/>
        </w:numPr>
        <w:ind w:left="567" w:hanging="283"/>
        <w:jc w:val="both"/>
        <w:rPr>
          <w:rFonts w:ascii="Verdana" w:hAnsi="Verdana" w:cs="Arial"/>
          <w:b/>
        </w:rPr>
      </w:pPr>
      <w:r w:rsidRPr="00845771">
        <w:rPr>
          <w:rFonts w:ascii="Verdana" w:hAnsi="Verdana" w:cs="Arial"/>
          <w:b/>
        </w:rPr>
        <w:t>Medidas correctivas para contrarrestar la exposición significativa al riesgo de liquidez de los EC</w:t>
      </w:r>
    </w:p>
    <w:p w14:paraId="16703ED8" w14:textId="4E93160E" w:rsidR="00845771" w:rsidRPr="001C6CAB" w:rsidRDefault="00845771" w:rsidP="00845771">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854FDC">
        <w:rPr>
          <w:rFonts w:ascii="Verdana" w:hAnsi="Verdana"/>
          <w:sz w:val="20"/>
          <w:szCs w:val="20"/>
        </w:rPr>
        <w:t>74</w:t>
      </w:r>
      <w:r w:rsidRPr="001C6CAB">
        <w:rPr>
          <w:rFonts w:ascii="Verdana" w:hAnsi="Verdana"/>
          <w:sz w:val="20"/>
          <w:szCs w:val="20"/>
        </w:rPr>
        <w:t>.</w:t>
      </w:r>
    </w:p>
    <w:p w14:paraId="67BCC248" w14:textId="74FC0ED1" w:rsidR="002B3025" w:rsidRPr="002B3025" w:rsidRDefault="002B3025" w:rsidP="12B437D6">
      <w:pPr>
        <w:pStyle w:val="Textoindependiente"/>
        <w:rPr>
          <w:rFonts w:ascii="Verdana" w:hAnsi="Verdana" w:cs="Arial"/>
          <w:sz w:val="20"/>
        </w:rPr>
      </w:pPr>
      <w:r w:rsidRPr="12B437D6">
        <w:rPr>
          <w:rFonts w:ascii="Verdana" w:hAnsi="Verdana" w:cs="Arial"/>
          <w:sz w:val="20"/>
        </w:rPr>
        <w:t>Si la entidad presenta alguna de las siguientes situaciones: no presentó un plan de ajuste en los términos descritos anteriormente, el plan de ajuste fue objetado por la SFC, las medidas prudenciales enunciadas en dicho plan se incumplieron o la implementación del plan de ajuste no permitió restablecer el IRLr</w:t>
      </w:r>
      <w:r w:rsidRPr="12B437D6">
        <w:rPr>
          <w:rFonts w:ascii="Verdana" w:hAnsi="Verdana" w:cs="Arial"/>
          <w:sz w:val="20"/>
          <w:vertAlign w:val="subscript"/>
        </w:rPr>
        <w:t xml:space="preserve"> </w:t>
      </w:r>
      <w:r w:rsidRPr="12B437D6">
        <w:rPr>
          <w:rFonts w:ascii="Verdana" w:hAnsi="Verdana" w:cs="Arial"/>
          <w:sz w:val="20"/>
        </w:rPr>
        <w:t>a 1,1 veces el valor del límite aplicable a la banda correspondiente, o por tercera ocasión en un periodo de 30 días calendario presenta un plan de ajuste, no podrá realizar:</w:t>
      </w:r>
    </w:p>
    <w:p w14:paraId="4F7620EB" w14:textId="77777777" w:rsidR="002B3025" w:rsidRPr="002B3025" w:rsidRDefault="002B3025" w:rsidP="00B929BB">
      <w:pPr>
        <w:pStyle w:val="Textoindependiente"/>
        <w:rPr>
          <w:rFonts w:ascii="Verdana" w:hAnsi="Verdana" w:cs="Arial"/>
          <w:bCs/>
          <w:sz w:val="20"/>
        </w:rPr>
      </w:pPr>
    </w:p>
    <w:p w14:paraId="01D9C346" w14:textId="77777777" w:rsidR="002B3025" w:rsidRPr="00845771" w:rsidRDefault="002B3025" w:rsidP="00551D66">
      <w:pPr>
        <w:pStyle w:val="Prrafodelista"/>
        <w:numPr>
          <w:ilvl w:val="0"/>
          <w:numId w:val="26"/>
        </w:numPr>
        <w:spacing w:after="0" w:line="240" w:lineRule="auto"/>
        <w:ind w:left="567" w:hanging="567"/>
        <w:rPr>
          <w:rFonts w:ascii="Verdana" w:hAnsi="Verdana" w:cs="Arial"/>
          <w:bCs/>
          <w:sz w:val="20"/>
          <w:szCs w:val="20"/>
          <w:lang w:val="es-ES_tradnl"/>
        </w:rPr>
      </w:pPr>
      <w:r w:rsidRPr="00845771">
        <w:rPr>
          <w:rFonts w:ascii="Verdana" w:hAnsi="Verdana" w:cs="Arial"/>
          <w:bCs/>
          <w:sz w:val="20"/>
          <w:szCs w:val="20"/>
          <w:lang w:val="es-ES_tradnl"/>
        </w:rPr>
        <w:t>Operaciones activas de mercado monetario.</w:t>
      </w:r>
    </w:p>
    <w:p w14:paraId="1A24F720" w14:textId="77777777" w:rsidR="002B3025" w:rsidRPr="002B3025" w:rsidRDefault="002B3025" w:rsidP="00845771">
      <w:pPr>
        <w:pStyle w:val="Prrafodelista"/>
        <w:ind w:left="567" w:hanging="567"/>
        <w:rPr>
          <w:rFonts w:ascii="Verdana" w:hAnsi="Verdana" w:cs="Arial"/>
          <w:bCs/>
          <w:sz w:val="20"/>
          <w:szCs w:val="20"/>
          <w:lang w:val="es-ES_tradnl"/>
        </w:rPr>
      </w:pPr>
    </w:p>
    <w:p w14:paraId="17293DED" w14:textId="77777777" w:rsidR="002B3025" w:rsidRPr="00845771" w:rsidRDefault="002B3025" w:rsidP="00551D66">
      <w:pPr>
        <w:pStyle w:val="Prrafodelista"/>
        <w:numPr>
          <w:ilvl w:val="0"/>
          <w:numId w:val="26"/>
        </w:numPr>
        <w:spacing w:after="0" w:line="240" w:lineRule="auto"/>
        <w:ind w:left="567" w:hanging="567"/>
        <w:rPr>
          <w:rFonts w:ascii="Verdana" w:hAnsi="Verdana" w:cs="Arial"/>
          <w:bCs/>
          <w:sz w:val="20"/>
          <w:szCs w:val="20"/>
          <w:lang w:val="es-ES_tradnl"/>
        </w:rPr>
      </w:pPr>
      <w:r w:rsidRPr="00845771">
        <w:rPr>
          <w:rFonts w:ascii="Verdana" w:hAnsi="Verdana" w:cs="Arial"/>
          <w:bCs/>
          <w:sz w:val="20"/>
          <w:szCs w:val="20"/>
          <w:lang w:val="es-ES_tradnl"/>
        </w:rPr>
        <w:t>Colocaciones y desembolsos de cartera y operaciones de leasing.</w:t>
      </w:r>
    </w:p>
    <w:p w14:paraId="24397987" w14:textId="77777777" w:rsidR="002B3025" w:rsidRPr="002B3025" w:rsidRDefault="002B3025" w:rsidP="00845771">
      <w:pPr>
        <w:pStyle w:val="Prrafodelista"/>
        <w:ind w:left="567" w:hanging="567"/>
        <w:rPr>
          <w:rFonts w:ascii="Verdana" w:hAnsi="Verdana" w:cs="Arial"/>
          <w:bCs/>
          <w:sz w:val="20"/>
          <w:szCs w:val="20"/>
          <w:lang w:val="es-ES_tradnl"/>
        </w:rPr>
      </w:pPr>
    </w:p>
    <w:p w14:paraId="0172A4E3" w14:textId="54BF8038" w:rsidR="002B3025" w:rsidRDefault="002B3025" w:rsidP="00551D66">
      <w:pPr>
        <w:pStyle w:val="Prrafodelista"/>
        <w:numPr>
          <w:ilvl w:val="0"/>
          <w:numId w:val="26"/>
        </w:numPr>
        <w:spacing w:after="0" w:line="240" w:lineRule="auto"/>
        <w:ind w:left="567" w:hanging="567"/>
        <w:rPr>
          <w:rFonts w:ascii="Verdana" w:hAnsi="Verdana" w:cs="Arial"/>
          <w:sz w:val="20"/>
          <w:szCs w:val="20"/>
          <w:lang w:val="es-ES"/>
        </w:rPr>
      </w:pPr>
      <w:r w:rsidRPr="1CB9A271">
        <w:rPr>
          <w:rFonts w:ascii="Verdana" w:hAnsi="Verdana" w:cs="Arial"/>
          <w:sz w:val="20"/>
          <w:szCs w:val="20"/>
          <w:lang w:val="es-ES"/>
        </w:rPr>
        <w:t>Compra de inversiones y en general de nuevas adquisiciones.</w:t>
      </w:r>
    </w:p>
    <w:p w14:paraId="071F88A0" w14:textId="77777777" w:rsidR="003B184B" w:rsidRPr="003B184B" w:rsidRDefault="003B184B" w:rsidP="003B184B">
      <w:pPr>
        <w:spacing w:after="0" w:line="240" w:lineRule="auto"/>
        <w:rPr>
          <w:rFonts w:ascii="Verdana" w:hAnsi="Verdana" w:cs="Arial"/>
          <w:bCs/>
          <w:sz w:val="20"/>
          <w:szCs w:val="20"/>
          <w:lang w:val="es-ES_tradnl"/>
        </w:rPr>
      </w:pPr>
    </w:p>
    <w:p w14:paraId="3A39A295" w14:textId="570A5E8B" w:rsidR="00845771" w:rsidRPr="001C6CAB" w:rsidRDefault="00845771" w:rsidP="00845771">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854FDC">
        <w:rPr>
          <w:rFonts w:ascii="Verdana" w:hAnsi="Verdana"/>
          <w:sz w:val="20"/>
          <w:szCs w:val="20"/>
        </w:rPr>
        <w:t>75</w:t>
      </w:r>
      <w:r w:rsidRPr="001C6CAB">
        <w:rPr>
          <w:rFonts w:ascii="Verdana" w:hAnsi="Verdana"/>
          <w:sz w:val="20"/>
          <w:szCs w:val="20"/>
        </w:rPr>
        <w:t>.</w:t>
      </w:r>
    </w:p>
    <w:p w14:paraId="262C49FF" w14:textId="2536E605" w:rsidR="002B3025" w:rsidRDefault="002B3025" w:rsidP="00B929BB">
      <w:pPr>
        <w:jc w:val="both"/>
        <w:rPr>
          <w:rFonts w:ascii="Verdana" w:hAnsi="Verdana" w:cs="Arial"/>
          <w:sz w:val="20"/>
          <w:szCs w:val="20"/>
          <w:lang w:val="es-ES"/>
        </w:rPr>
      </w:pPr>
      <w:r w:rsidRPr="1CB9A271">
        <w:rPr>
          <w:rFonts w:ascii="Verdana" w:hAnsi="Verdana" w:cs="Arial"/>
          <w:sz w:val="20"/>
          <w:szCs w:val="20"/>
          <w:lang w:val="es-ES"/>
        </w:rPr>
        <w:t>Para efectos de lo anterior, la realización de alguna de las</w:t>
      </w:r>
      <w:r w:rsidR="00502A41">
        <w:rPr>
          <w:rFonts w:ascii="Verdana" w:hAnsi="Verdana" w:cs="Arial"/>
          <w:sz w:val="20"/>
          <w:szCs w:val="20"/>
          <w:lang w:val="es-ES"/>
        </w:rPr>
        <w:t xml:space="preserve"> </w:t>
      </w:r>
      <w:r w:rsidRPr="1CB9A271">
        <w:rPr>
          <w:rFonts w:ascii="Verdana" w:hAnsi="Verdana" w:cs="Arial"/>
          <w:sz w:val="20"/>
          <w:szCs w:val="20"/>
          <w:lang w:val="es-ES"/>
        </w:rPr>
        <w:t xml:space="preserve">operaciones </w:t>
      </w:r>
      <w:r w:rsidR="00F41FF8">
        <w:rPr>
          <w:rFonts w:ascii="Verdana" w:hAnsi="Verdana" w:cs="Arial"/>
          <w:sz w:val="20"/>
          <w:szCs w:val="20"/>
          <w:lang w:val="es-ES"/>
        </w:rPr>
        <w:t xml:space="preserve">señaladas en los literales </w:t>
      </w:r>
      <w:r w:rsidR="004E3898">
        <w:rPr>
          <w:rFonts w:ascii="Verdana" w:hAnsi="Verdana" w:cs="Arial"/>
          <w:sz w:val="20"/>
          <w:szCs w:val="20"/>
          <w:lang w:val="es-ES"/>
        </w:rPr>
        <w:t xml:space="preserve">a, b y c </w:t>
      </w:r>
      <w:r w:rsidR="008254D0">
        <w:rPr>
          <w:rFonts w:ascii="Verdana" w:hAnsi="Verdana" w:cs="Arial"/>
          <w:sz w:val="20"/>
          <w:szCs w:val="20"/>
          <w:lang w:val="es-ES"/>
        </w:rPr>
        <w:t>del párrafo anterior</w:t>
      </w:r>
      <w:r w:rsidR="00C063A1">
        <w:rPr>
          <w:rFonts w:ascii="Verdana" w:hAnsi="Verdana" w:cs="Arial"/>
          <w:sz w:val="20"/>
          <w:szCs w:val="20"/>
          <w:lang w:val="es-ES"/>
        </w:rPr>
        <w:t>,</w:t>
      </w:r>
      <w:r w:rsidR="008254D0">
        <w:rPr>
          <w:rFonts w:ascii="Verdana" w:hAnsi="Verdana" w:cs="Arial"/>
          <w:sz w:val="20"/>
          <w:szCs w:val="20"/>
          <w:lang w:val="es-ES"/>
        </w:rPr>
        <w:t xml:space="preserve"> </w:t>
      </w:r>
      <w:r w:rsidRPr="1CB9A271">
        <w:rPr>
          <w:rFonts w:ascii="Verdana" w:hAnsi="Verdana" w:cs="Arial"/>
          <w:sz w:val="20"/>
          <w:szCs w:val="20"/>
          <w:lang w:val="es-ES"/>
        </w:rPr>
        <w:t xml:space="preserve">bajo los supuestos planteados en </w:t>
      </w:r>
      <w:r w:rsidR="008254D0">
        <w:rPr>
          <w:rFonts w:ascii="Verdana" w:hAnsi="Verdana" w:cs="Arial"/>
          <w:sz w:val="20"/>
          <w:szCs w:val="20"/>
          <w:lang w:val="es-ES"/>
        </w:rPr>
        <w:t xml:space="preserve">dicho </w:t>
      </w:r>
      <w:r w:rsidR="0090783F">
        <w:rPr>
          <w:rFonts w:ascii="Verdana" w:hAnsi="Verdana" w:cs="Arial"/>
          <w:sz w:val="20"/>
          <w:szCs w:val="20"/>
          <w:lang w:val="es-ES"/>
        </w:rPr>
        <w:t>párrafo</w:t>
      </w:r>
      <w:r w:rsidR="00D666D0">
        <w:rPr>
          <w:rFonts w:ascii="Verdana" w:hAnsi="Verdana" w:cs="Arial"/>
          <w:sz w:val="20"/>
          <w:szCs w:val="20"/>
          <w:lang w:val="es-ES"/>
        </w:rPr>
        <w:t>,</w:t>
      </w:r>
      <w:r w:rsidR="0090783F">
        <w:rPr>
          <w:rFonts w:ascii="Verdana" w:hAnsi="Verdana" w:cs="Arial"/>
          <w:sz w:val="20"/>
          <w:szCs w:val="20"/>
          <w:lang w:val="es-ES"/>
        </w:rPr>
        <w:t xml:space="preserve"> </w:t>
      </w:r>
      <w:r w:rsidRPr="1CB9A271">
        <w:rPr>
          <w:rFonts w:ascii="Verdana" w:hAnsi="Verdana" w:cs="Arial"/>
          <w:sz w:val="20"/>
          <w:szCs w:val="20"/>
          <w:lang w:val="es-ES"/>
        </w:rPr>
        <w:t>se considera práctica insegura.</w:t>
      </w:r>
    </w:p>
    <w:p w14:paraId="59D9F210" w14:textId="37039E52" w:rsidR="00341FD1" w:rsidRPr="001C6CAB" w:rsidRDefault="00341FD1" w:rsidP="00341FD1">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854FDC">
        <w:rPr>
          <w:rFonts w:ascii="Verdana" w:hAnsi="Verdana"/>
          <w:sz w:val="20"/>
          <w:szCs w:val="20"/>
        </w:rPr>
        <w:t>76</w:t>
      </w:r>
      <w:r w:rsidRPr="001C6CAB">
        <w:rPr>
          <w:rFonts w:ascii="Verdana" w:hAnsi="Verdana"/>
          <w:sz w:val="20"/>
          <w:szCs w:val="20"/>
        </w:rPr>
        <w:t>.</w:t>
      </w:r>
    </w:p>
    <w:p w14:paraId="2D556471" w14:textId="758F15F7" w:rsidR="002B3025" w:rsidRPr="002B3025" w:rsidRDefault="002B3025" w:rsidP="12B437D6">
      <w:pPr>
        <w:shd w:val="clear" w:color="auto" w:fill="FFFFFF" w:themeFill="background1"/>
        <w:jc w:val="both"/>
        <w:rPr>
          <w:rFonts w:ascii="Verdana" w:eastAsia="Arial" w:hAnsi="Verdana" w:cs="Arial"/>
          <w:sz w:val="20"/>
          <w:szCs w:val="20"/>
        </w:rPr>
      </w:pPr>
      <w:r w:rsidRPr="12B437D6">
        <w:rPr>
          <w:rFonts w:ascii="Verdana" w:eastAsia="Arial" w:hAnsi="Verdana" w:cs="Arial"/>
          <w:sz w:val="20"/>
          <w:szCs w:val="20"/>
        </w:rPr>
        <w:t>Sin perjuicio de las sanciones a que haya lugar, una vez la entidad restablezca el IR</w:t>
      </w:r>
      <w:r w:rsidR="00C50CCD">
        <w:rPr>
          <w:rFonts w:ascii="Verdana" w:eastAsia="Arial" w:hAnsi="Verdana" w:cs="Arial"/>
          <w:sz w:val="20"/>
          <w:szCs w:val="20"/>
        </w:rPr>
        <w:t>Lr</w:t>
      </w:r>
      <w:r w:rsidRPr="12B437D6">
        <w:rPr>
          <w:rFonts w:ascii="Verdana" w:eastAsia="Arial" w:hAnsi="Verdana" w:cs="Arial"/>
          <w:sz w:val="20"/>
          <w:szCs w:val="20"/>
        </w:rPr>
        <w:t xml:space="preserve"> a 1,1, veces el límite aplicable a la correspondiente banda en el reporte semanal, podrá volver a realizar las operaciones anteriormente restringidas una vez se haya realizado el reporte y se acredite ante a la SFC el cumplimiento del IR</w:t>
      </w:r>
      <w:r w:rsidR="00C50CCD">
        <w:rPr>
          <w:rFonts w:ascii="Verdana" w:eastAsia="Arial" w:hAnsi="Verdana" w:cs="Arial"/>
          <w:sz w:val="20"/>
          <w:szCs w:val="20"/>
        </w:rPr>
        <w:t>Lr</w:t>
      </w:r>
      <w:r w:rsidRPr="12B437D6">
        <w:rPr>
          <w:rFonts w:ascii="Verdana" w:eastAsia="Arial" w:hAnsi="Verdana" w:cs="Arial"/>
          <w:sz w:val="20"/>
          <w:szCs w:val="20"/>
        </w:rPr>
        <w:t xml:space="preserve"> a un valor correspondiente a 1,1 veces el límite aplicable</w:t>
      </w:r>
      <w:r w:rsidR="000A4294">
        <w:rPr>
          <w:rFonts w:ascii="Verdana" w:eastAsia="Arial" w:hAnsi="Verdana" w:cs="Arial"/>
          <w:sz w:val="20"/>
          <w:szCs w:val="20"/>
        </w:rPr>
        <w:t>.</w:t>
      </w:r>
    </w:p>
    <w:p w14:paraId="2151E5B3" w14:textId="2DFFA7D8" w:rsidR="00341FD1" w:rsidRPr="001C6CAB" w:rsidRDefault="00341FD1" w:rsidP="00341FD1">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854FDC">
        <w:rPr>
          <w:rFonts w:ascii="Verdana" w:hAnsi="Verdana"/>
          <w:sz w:val="20"/>
          <w:szCs w:val="20"/>
        </w:rPr>
        <w:t>77</w:t>
      </w:r>
      <w:r w:rsidRPr="001C6CAB">
        <w:rPr>
          <w:rFonts w:ascii="Verdana" w:hAnsi="Verdana"/>
          <w:sz w:val="20"/>
          <w:szCs w:val="20"/>
        </w:rPr>
        <w:t>.</w:t>
      </w:r>
    </w:p>
    <w:p w14:paraId="1E8EE414" w14:textId="3EE724CB" w:rsidR="002B3025" w:rsidRPr="002B3025" w:rsidRDefault="002B3025" w:rsidP="00B929BB">
      <w:pPr>
        <w:shd w:val="clear" w:color="auto" w:fill="FFFFFF" w:themeFill="background1"/>
        <w:jc w:val="both"/>
        <w:rPr>
          <w:rFonts w:ascii="Verdana" w:eastAsia="Arial" w:hAnsi="Verdana" w:cs="Arial"/>
          <w:bCs/>
          <w:sz w:val="20"/>
          <w:szCs w:val="20"/>
          <w:lang w:val="es"/>
        </w:rPr>
      </w:pPr>
      <w:r w:rsidRPr="002B3025">
        <w:rPr>
          <w:rFonts w:ascii="Verdana" w:eastAsia="Arial" w:hAnsi="Verdana" w:cs="Arial"/>
          <w:bCs/>
          <w:sz w:val="20"/>
          <w:szCs w:val="20"/>
          <w:lang w:val="es"/>
        </w:rPr>
        <w:t>En el caso en que la exposición significativa al riesgo de liquidez se presente por caída en el CFEN y la entidad no haya presentado un plan de ajuste en los términos descritos, el plan de ajuste fue objetado por la SFC, las medidas enunciadas en dicho plan se incumplieron, o la implementación del plan de ajuste no permitió elevar el CFEN hasta un nivel de por lo menos el mínimo establecido más 1 punto porcentual, la entidad debe robustecer la estabilidad en sus fuentes de fondeo y/o el perfil de riesgo de liquidez de su activo y de sus posiciones fuera de balance y no podrá realizar:</w:t>
      </w:r>
    </w:p>
    <w:p w14:paraId="5D6651D7" w14:textId="77777777" w:rsidR="002B3025" w:rsidRPr="00341FD1" w:rsidRDefault="002B3025" w:rsidP="00551D66">
      <w:pPr>
        <w:pStyle w:val="Prrafodelista"/>
        <w:numPr>
          <w:ilvl w:val="0"/>
          <w:numId w:val="27"/>
        </w:numPr>
        <w:spacing w:after="0" w:line="240" w:lineRule="auto"/>
        <w:ind w:left="567" w:hanging="567"/>
        <w:jc w:val="both"/>
        <w:rPr>
          <w:rFonts w:ascii="Verdana" w:eastAsia="Arial" w:hAnsi="Verdana" w:cs="Arial"/>
          <w:bCs/>
          <w:sz w:val="20"/>
          <w:szCs w:val="20"/>
          <w:lang w:val="es"/>
        </w:rPr>
      </w:pPr>
      <w:r w:rsidRPr="00341FD1">
        <w:rPr>
          <w:rFonts w:ascii="Verdana" w:eastAsia="Arial" w:hAnsi="Verdana" w:cs="Arial"/>
          <w:bCs/>
          <w:sz w:val="20"/>
          <w:szCs w:val="20"/>
          <w:lang w:val="es"/>
        </w:rPr>
        <w:t>Operaciones activas de mercado monetario.</w:t>
      </w:r>
    </w:p>
    <w:p w14:paraId="395E8A56" w14:textId="77777777" w:rsidR="002B3025" w:rsidRPr="002B3025" w:rsidRDefault="002B3025" w:rsidP="00341FD1">
      <w:pPr>
        <w:pStyle w:val="Prrafodelista"/>
        <w:ind w:left="567" w:hanging="567"/>
        <w:jc w:val="both"/>
        <w:rPr>
          <w:rFonts w:ascii="Verdana" w:eastAsia="Arial" w:hAnsi="Verdana" w:cs="Arial"/>
          <w:bCs/>
          <w:sz w:val="20"/>
          <w:szCs w:val="20"/>
          <w:lang w:val="es"/>
        </w:rPr>
      </w:pPr>
    </w:p>
    <w:p w14:paraId="7AEDC7ED" w14:textId="77777777" w:rsidR="002B3025" w:rsidRPr="00341FD1" w:rsidRDefault="002B3025" w:rsidP="00551D66">
      <w:pPr>
        <w:pStyle w:val="Prrafodelista"/>
        <w:numPr>
          <w:ilvl w:val="0"/>
          <w:numId w:val="27"/>
        </w:numPr>
        <w:spacing w:after="0" w:line="240" w:lineRule="auto"/>
        <w:ind w:left="567" w:hanging="567"/>
        <w:jc w:val="both"/>
        <w:rPr>
          <w:rFonts w:ascii="Verdana" w:eastAsia="Arial" w:hAnsi="Verdana" w:cs="Arial"/>
          <w:bCs/>
          <w:sz w:val="20"/>
          <w:szCs w:val="20"/>
          <w:lang w:val="es"/>
        </w:rPr>
      </w:pPr>
      <w:r w:rsidRPr="00341FD1">
        <w:rPr>
          <w:rFonts w:ascii="Verdana" w:eastAsia="Arial" w:hAnsi="Verdana" w:cs="Arial"/>
          <w:bCs/>
          <w:sz w:val="20"/>
          <w:szCs w:val="20"/>
          <w:lang w:val="es"/>
        </w:rPr>
        <w:t>Colocaciones y desembolsos de cartera y operaciones de leasing.</w:t>
      </w:r>
    </w:p>
    <w:p w14:paraId="0F1BC244" w14:textId="77777777" w:rsidR="002B3025" w:rsidRPr="002B3025" w:rsidRDefault="002B3025" w:rsidP="00341FD1">
      <w:pPr>
        <w:pStyle w:val="Prrafodelista"/>
        <w:ind w:left="567" w:hanging="567"/>
        <w:rPr>
          <w:rFonts w:ascii="Verdana" w:eastAsia="Arial" w:hAnsi="Verdana" w:cs="Arial"/>
          <w:bCs/>
          <w:sz w:val="20"/>
          <w:szCs w:val="20"/>
          <w:lang w:val="es"/>
        </w:rPr>
      </w:pPr>
    </w:p>
    <w:p w14:paraId="36F86539" w14:textId="77777777" w:rsidR="002B3025" w:rsidRPr="00341FD1" w:rsidRDefault="002B3025" w:rsidP="00551D66">
      <w:pPr>
        <w:pStyle w:val="Prrafodelista"/>
        <w:numPr>
          <w:ilvl w:val="0"/>
          <w:numId w:val="27"/>
        </w:numPr>
        <w:spacing w:after="0" w:line="240" w:lineRule="auto"/>
        <w:ind w:left="567" w:hanging="567"/>
        <w:jc w:val="both"/>
        <w:rPr>
          <w:rFonts w:ascii="Verdana" w:eastAsia="Arial" w:hAnsi="Verdana" w:cs="Arial"/>
          <w:sz w:val="20"/>
          <w:szCs w:val="20"/>
          <w:lang w:val="es-ES"/>
        </w:rPr>
      </w:pPr>
      <w:r w:rsidRPr="1CB9A271">
        <w:rPr>
          <w:rFonts w:ascii="Verdana" w:eastAsia="Arial" w:hAnsi="Verdana" w:cs="Arial"/>
          <w:sz w:val="20"/>
          <w:szCs w:val="20"/>
          <w:lang w:val="es-ES"/>
        </w:rPr>
        <w:t>Compra de inversiones y en general de nuevas adquisiciones.</w:t>
      </w:r>
    </w:p>
    <w:p w14:paraId="72501039" w14:textId="77777777" w:rsidR="002B3025" w:rsidRPr="002B3025" w:rsidRDefault="002B3025" w:rsidP="00341FD1">
      <w:pPr>
        <w:pStyle w:val="Prrafodelista"/>
        <w:ind w:left="567" w:hanging="567"/>
        <w:rPr>
          <w:rFonts w:ascii="Verdana" w:eastAsia="Arial" w:hAnsi="Verdana" w:cs="Arial"/>
          <w:bCs/>
          <w:sz w:val="20"/>
          <w:szCs w:val="20"/>
          <w:lang w:val="es"/>
        </w:rPr>
      </w:pPr>
    </w:p>
    <w:p w14:paraId="048B56B8" w14:textId="77777777" w:rsidR="002B3025" w:rsidRPr="00341FD1" w:rsidRDefault="002B3025" w:rsidP="00551D66">
      <w:pPr>
        <w:pStyle w:val="Prrafodelista"/>
        <w:numPr>
          <w:ilvl w:val="0"/>
          <w:numId w:val="27"/>
        </w:numPr>
        <w:spacing w:after="0" w:line="240" w:lineRule="auto"/>
        <w:ind w:left="567" w:hanging="567"/>
        <w:jc w:val="both"/>
        <w:rPr>
          <w:rFonts w:ascii="Verdana" w:eastAsia="Arial" w:hAnsi="Verdana" w:cs="Arial"/>
          <w:bCs/>
          <w:sz w:val="20"/>
          <w:szCs w:val="20"/>
          <w:lang w:val="es"/>
        </w:rPr>
      </w:pPr>
      <w:r w:rsidRPr="00341FD1">
        <w:rPr>
          <w:rFonts w:ascii="Verdana" w:eastAsia="Arial" w:hAnsi="Verdana" w:cs="Arial"/>
          <w:bCs/>
          <w:sz w:val="20"/>
          <w:szCs w:val="20"/>
          <w:lang w:val="es"/>
        </w:rPr>
        <w:t>Incrementos de los cupos otorgados en tarjetas de crédito.</w:t>
      </w:r>
    </w:p>
    <w:p w14:paraId="31D2C929" w14:textId="77777777" w:rsidR="00E621C3" w:rsidRDefault="00E621C3" w:rsidP="00341FD1">
      <w:pPr>
        <w:spacing w:after="0"/>
        <w:rPr>
          <w:rFonts w:ascii="Verdana" w:hAnsi="Verdana"/>
          <w:sz w:val="20"/>
          <w:szCs w:val="20"/>
        </w:rPr>
      </w:pPr>
    </w:p>
    <w:p w14:paraId="76C677DF" w14:textId="720B2D39" w:rsidR="00341FD1" w:rsidRPr="001C6CAB" w:rsidRDefault="00341FD1" w:rsidP="00341FD1">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854FDC">
        <w:rPr>
          <w:rFonts w:ascii="Verdana" w:hAnsi="Verdana"/>
          <w:sz w:val="20"/>
          <w:szCs w:val="20"/>
        </w:rPr>
        <w:t>78</w:t>
      </w:r>
      <w:r w:rsidRPr="001C6CAB">
        <w:rPr>
          <w:rFonts w:ascii="Verdana" w:hAnsi="Verdana"/>
          <w:sz w:val="20"/>
          <w:szCs w:val="20"/>
        </w:rPr>
        <w:t>.</w:t>
      </w:r>
    </w:p>
    <w:p w14:paraId="27F6B10C" w14:textId="6DA7C297" w:rsidR="00341FD1" w:rsidRDefault="002B3025" w:rsidP="003B184B">
      <w:pPr>
        <w:jc w:val="both"/>
        <w:rPr>
          <w:rFonts w:ascii="Verdana" w:eastAsia="Arial" w:hAnsi="Verdana" w:cs="Arial"/>
          <w:sz w:val="20"/>
          <w:szCs w:val="20"/>
          <w:lang w:val="es-ES"/>
        </w:rPr>
      </w:pPr>
      <w:r w:rsidRPr="60169A51">
        <w:rPr>
          <w:rFonts w:ascii="Verdana" w:eastAsia="Arial" w:hAnsi="Verdana" w:cs="Arial"/>
          <w:sz w:val="20"/>
          <w:szCs w:val="20"/>
          <w:lang w:val="es-ES"/>
        </w:rPr>
        <w:t>Adicionalmente, en caso de persistir el incumplimiento, la SFC podrá tomar las medidas administrativas a las que está facultada conforme a la ley.</w:t>
      </w:r>
    </w:p>
    <w:p w14:paraId="21703934" w14:textId="781E7377" w:rsidR="002B3025" w:rsidRPr="00341FD1" w:rsidRDefault="002B3025" w:rsidP="00170E67">
      <w:pPr>
        <w:pStyle w:val="Sangradetextonormal"/>
        <w:numPr>
          <w:ilvl w:val="0"/>
          <w:numId w:val="40"/>
        </w:numPr>
        <w:ind w:left="567" w:hanging="283"/>
        <w:jc w:val="both"/>
        <w:rPr>
          <w:rFonts w:ascii="Verdana" w:hAnsi="Verdana" w:cs="Arial"/>
          <w:b/>
        </w:rPr>
      </w:pPr>
      <w:r w:rsidRPr="00341FD1">
        <w:rPr>
          <w:rFonts w:ascii="Verdana" w:hAnsi="Verdana" w:cs="Arial"/>
          <w:b/>
        </w:rPr>
        <w:t>Medidas prudenciales para contrarrestar la exposición significativa al riesgo de liquidez de las SCBV</w:t>
      </w:r>
    </w:p>
    <w:p w14:paraId="3DF2E2DD" w14:textId="701791B6" w:rsidR="00341FD1" w:rsidRPr="001C6CAB" w:rsidRDefault="00341FD1" w:rsidP="00341FD1">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854FDC">
        <w:rPr>
          <w:rFonts w:ascii="Verdana" w:hAnsi="Verdana"/>
          <w:sz w:val="20"/>
          <w:szCs w:val="20"/>
        </w:rPr>
        <w:t>79</w:t>
      </w:r>
      <w:r w:rsidRPr="001C6CAB">
        <w:rPr>
          <w:rFonts w:ascii="Verdana" w:hAnsi="Verdana"/>
          <w:sz w:val="20"/>
          <w:szCs w:val="20"/>
        </w:rPr>
        <w:t>.</w:t>
      </w:r>
    </w:p>
    <w:p w14:paraId="1CD524B8" w14:textId="39E3E3C4" w:rsidR="002B3025" w:rsidRPr="002B3025" w:rsidRDefault="002B3025" w:rsidP="00B929BB">
      <w:pPr>
        <w:jc w:val="both"/>
        <w:rPr>
          <w:rFonts w:ascii="Verdana" w:hAnsi="Verdana" w:cs="Arial"/>
          <w:bCs/>
          <w:sz w:val="20"/>
          <w:szCs w:val="20"/>
          <w:lang w:val="es-ES_tradnl"/>
        </w:rPr>
      </w:pPr>
      <w:r w:rsidRPr="002B3025">
        <w:rPr>
          <w:rFonts w:ascii="Verdana" w:hAnsi="Verdana" w:cs="Arial"/>
          <w:bCs/>
          <w:sz w:val="20"/>
          <w:szCs w:val="20"/>
          <w:lang w:val="es-ES_tradnl"/>
        </w:rPr>
        <w:t xml:space="preserve">Cuando una entidad advierta que su IRL es negativo independientemente del modelo de medición empleado, el Representante Legal de la entidad debe informar por escrito de manera inmediata a la SFC sobre: </w:t>
      </w:r>
    </w:p>
    <w:p w14:paraId="37EE7705" w14:textId="3AC5AF4F" w:rsidR="002B3025" w:rsidRPr="00341FD1" w:rsidRDefault="002B3025" w:rsidP="00551D66">
      <w:pPr>
        <w:pStyle w:val="Prrafodelista"/>
        <w:numPr>
          <w:ilvl w:val="0"/>
          <w:numId w:val="28"/>
        </w:numPr>
        <w:spacing w:after="0" w:line="240" w:lineRule="auto"/>
        <w:ind w:left="567" w:hanging="567"/>
        <w:jc w:val="both"/>
        <w:rPr>
          <w:rFonts w:ascii="Verdana" w:hAnsi="Verdana" w:cs="Arial"/>
          <w:sz w:val="20"/>
          <w:szCs w:val="20"/>
        </w:rPr>
      </w:pPr>
      <w:r w:rsidRPr="12B437D6">
        <w:rPr>
          <w:rFonts w:ascii="Verdana" w:hAnsi="Verdana" w:cs="Arial"/>
          <w:sz w:val="20"/>
          <w:szCs w:val="20"/>
        </w:rPr>
        <w:t xml:space="preserve">Las razones fundamentales que, de acuerdo con el análisis de la misma, originaron la caída del IRL a 1 </w:t>
      </w:r>
      <w:r w:rsidR="00C50CCD">
        <w:rPr>
          <w:rFonts w:ascii="Verdana" w:hAnsi="Verdana" w:cs="Arial"/>
          <w:sz w:val="20"/>
          <w:szCs w:val="20"/>
        </w:rPr>
        <w:t>o</w:t>
      </w:r>
      <w:r w:rsidRPr="12B437D6">
        <w:rPr>
          <w:rFonts w:ascii="Verdana" w:hAnsi="Verdana" w:cs="Arial"/>
          <w:sz w:val="20"/>
          <w:szCs w:val="20"/>
        </w:rPr>
        <w:t xml:space="preserve"> 7 días por debajo del límite establecido.</w:t>
      </w:r>
    </w:p>
    <w:p w14:paraId="5258BBEE" w14:textId="77777777" w:rsidR="002B3025" w:rsidRPr="002B3025" w:rsidRDefault="002B3025" w:rsidP="00341FD1">
      <w:pPr>
        <w:pStyle w:val="Prrafodelista"/>
        <w:ind w:left="567" w:hanging="567"/>
        <w:jc w:val="both"/>
        <w:rPr>
          <w:rFonts w:ascii="Verdana" w:hAnsi="Verdana" w:cs="Arial"/>
          <w:bCs/>
          <w:sz w:val="20"/>
          <w:szCs w:val="20"/>
        </w:rPr>
      </w:pPr>
    </w:p>
    <w:p w14:paraId="312E6D62" w14:textId="77777777" w:rsidR="002B3025" w:rsidRDefault="002B3025" w:rsidP="00551D66">
      <w:pPr>
        <w:pStyle w:val="Prrafodelista"/>
        <w:numPr>
          <w:ilvl w:val="0"/>
          <w:numId w:val="28"/>
        </w:numPr>
        <w:spacing w:after="0" w:line="240" w:lineRule="auto"/>
        <w:ind w:left="567" w:hanging="567"/>
        <w:jc w:val="both"/>
        <w:rPr>
          <w:rFonts w:ascii="Verdana" w:hAnsi="Verdana" w:cs="Arial"/>
          <w:bCs/>
          <w:sz w:val="20"/>
          <w:szCs w:val="20"/>
        </w:rPr>
      </w:pPr>
      <w:r w:rsidRPr="00341FD1">
        <w:rPr>
          <w:rFonts w:ascii="Verdana" w:hAnsi="Verdana" w:cs="Arial"/>
          <w:bCs/>
          <w:sz w:val="20"/>
          <w:szCs w:val="20"/>
        </w:rPr>
        <w:lastRenderedPageBreak/>
        <w:t>El carácter coyuntural o duradero de tal situación.</w:t>
      </w:r>
    </w:p>
    <w:p w14:paraId="39F769C4" w14:textId="77777777" w:rsidR="00982B0B" w:rsidRPr="00982B0B" w:rsidRDefault="00982B0B" w:rsidP="00982B0B">
      <w:pPr>
        <w:pStyle w:val="Prrafodelista"/>
        <w:rPr>
          <w:rFonts w:ascii="Verdana" w:hAnsi="Verdana" w:cs="Arial"/>
          <w:bCs/>
          <w:sz w:val="20"/>
          <w:szCs w:val="20"/>
        </w:rPr>
      </w:pPr>
    </w:p>
    <w:p w14:paraId="63CC9184" w14:textId="77777777" w:rsidR="00982B0B" w:rsidRPr="00341FD1" w:rsidRDefault="00982B0B" w:rsidP="00982B0B">
      <w:pPr>
        <w:pStyle w:val="Prrafodelista"/>
        <w:spacing w:after="0" w:line="240" w:lineRule="auto"/>
        <w:ind w:left="567"/>
        <w:jc w:val="both"/>
        <w:rPr>
          <w:rFonts w:ascii="Verdana" w:hAnsi="Verdana" w:cs="Arial"/>
          <w:bCs/>
          <w:sz w:val="20"/>
          <w:szCs w:val="20"/>
        </w:rPr>
      </w:pPr>
    </w:p>
    <w:p w14:paraId="70C38F6D" w14:textId="5E555281" w:rsidR="003B184B" w:rsidRDefault="002B3025" w:rsidP="00551D66">
      <w:pPr>
        <w:pStyle w:val="Prrafodelista"/>
        <w:numPr>
          <w:ilvl w:val="0"/>
          <w:numId w:val="28"/>
        </w:numPr>
        <w:spacing w:after="0" w:line="240" w:lineRule="auto"/>
        <w:ind w:left="567" w:hanging="567"/>
        <w:jc w:val="both"/>
        <w:rPr>
          <w:rFonts w:ascii="Verdana" w:hAnsi="Verdana" w:cs="Arial"/>
          <w:sz w:val="20"/>
          <w:szCs w:val="20"/>
        </w:rPr>
      </w:pPr>
      <w:r w:rsidRPr="12B437D6">
        <w:rPr>
          <w:rFonts w:ascii="Verdana" w:hAnsi="Verdana" w:cs="Arial"/>
          <w:sz w:val="20"/>
          <w:szCs w:val="20"/>
        </w:rPr>
        <w:t xml:space="preserve">El plan de ajuste que contenga las acciones y/o medidas que la entidad adoptará para restablecer el IRLr a </w:t>
      </w:r>
      <w:r w:rsidR="00A67970" w:rsidRPr="00845771">
        <w:rPr>
          <w:rFonts w:ascii="Verdana" w:hAnsi="Verdana" w:cs="Arial"/>
          <w:bCs/>
          <w:sz w:val="20"/>
          <w:szCs w:val="20"/>
        </w:rPr>
        <w:t>un valor superior 1,1 veces el límite aplicable a la banda correspondiente</w:t>
      </w:r>
      <w:r w:rsidR="00A67970" w:rsidRPr="12B437D6">
        <w:rPr>
          <w:rFonts w:ascii="Verdana" w:hAnsi="Verdana" w:cs="Arial"/>
          <w:sz w:val="20"/>
          <w:szCs w:val="20"/>
        </w:rPr>
        <w:t xml:space="preserve"> </w:t>
      </w:r>
      <w:r w:rsidRPr="12B437D6">
        <w:rPr>
          <w:rFonts w:ascii="Verdana" w:hAnsi="Verdana" w:cs="Arial"/>
          <w:sz w:val="20"/>
          <w:szCs w:val="20"/>
        </w:rPr>
        <w:t>en un plazo no mayor a 5 días hábiles.</w:t>
      </w:r>
    </w:p>
    <w:p w14:paraId="7A68C29A" w14:textId="77777777" w:rsidR="004A5B4A" w:rsidRPr="004A5B4A" w:rsidRDefault="004A5B4A" w:rsidP="004A5B4A">
      <w:pPr>
        <w:spacing w:after="0" w:line="240" w:lineRule="auto"/>
        <w:jc w:val="both"/>
        <w:rPr>
          <w:rFonts w:ascii="Verdana" w:hAnsi="Verdana" w:cs="Arial"/>
          <w:sz w:val="20"/>
          <w:szCs w:val="20"/>
        </w:rPr>
      </w:pPr>
    </w:p>
    <w:p w14:paraId="020E6435" w14:textId="77777777" w:rsidR="003B184B" w:rsidRDefault="002B3025" w:rsidP="005C5E3A">
      <w:pPr>
        <w:pStyle w:val="Sangradetextonormal"/>
        <w:numPr>
          <w:ilvl w:val="0"/>
          <w:numId w:val="40"/>
        </w:numPr>
        <w:ind w:left="567" w:hanging="283"/>
        <w:jc w:val="both"/>
        <w:rPr>
          <w:rFonts w:ascii="Verdana" w:hAnsi="Verdana" w:cs="Arial"/>
          <w:b/>
        </w:rPr>
      </w:pPr>
      <w:r w:rsidRPr="00341FD1">
        <w:rPr>
          <w:rFonts w:ascii="Verdana" w:hAnsi="Verdana" w:cs="Arial"/>
          <w:b/>
        </w:rPr>
        <w:t>Medidas correctivas para contrarrestar la exposición significativa al riesgo de liquidez de las SCB</w:t>
      </w:r>
      <w:r w:rsidR="003B184B">
        <w:rPr>
          <w:rFonts w:ascii="Verdana" w:hAnsi="Verdana" w:cs="Arial"/>
          <w:b/>
        </w:rPr>
        <w:t>V</w:t>
      </w:r>
    </w:p>
    <w:p w14:paraId="1F53491A" w14:textId="49B9F7B7" w:rsidR="004A5B4A" w:rsidRPr="004A5B4A" w:rsidRDefault="004A5B4A" w:rsidP="004A5B4A">
      <w:pPr>
        <w:spacing w:after="0"/>
        <w:rPr>
          <w:rFonts w:ascii="Verdana" w:hAnsi="Verdana"/>
          <w:sz w:val="20"/>
          <w:szCs w:val="20"/>
        </w:rPr>
      </w:pPr>
      <w:r w:rsidRPr="004A5B4A">
        <w:rPr>
          <w:rFonts w:ascii="Verdana" w:hAnsi="Verdana"/>
          <w:sz w:val="20"/>
          <w:szCs w:val="20"/>
        </w:rPr>
        <w:t>1.1.3.1</w:t>
      </w:r>
      <w:r w:rsidR="00854FDC">
        <w:rPr>
          <w:rFonts w:ascii="Verdana" w:hAnsi="Verdana"/>
          <w:sz w:val="20"/>
          <w:szCs w:val="20"/>
        </w:rPr>
        <w:t>80</w:t>
      </w:r>
      <w:r w:rsidRPr="004A5B4A">
        <w:rPr>
          <w:rFonts w:ascii="Verdana" w:hAnsi="Verdana"/>
          <w:sz w:val="20"/>
          <w:szCs w:val="20"/>
        </w:rPr>
        <w:t>.</w:t>
      </w:r>
    </w:p>
    <w:p w14:paraId="71A455E5" w14:textId="6FC029D2" w:rsidR="002B3025" w:rsidRPr="002B3025" w:rsidRDefault="000547C1" w:rsidP="003B184B">
      <w:pPr>
        <w:jc w:val="both"/>
        <w:rPr>
          <w:rFonts w:ascii="Verdana" w:hAnsi="Verdana" w:cs="Arial"/>
          <w:bCs/>
          <w:sz w:val="20"/>
          <w:szCs w:val="20"/>
          <w:lang w:val="es-ES_tradnl"/>
        </w:rPr>
      </w:pPr>
      <w:r>
        <w:rPr>
          <w:rFonts w:ascii="Verdana" w:hAnsi="Verdana"/>
          <w:sz w:val="20"/>
          <w:szCs w:val="20"/>
        </w:rPr>
        <w:t>Si</w:t>
      </w:r>
      <w:r w:rsidR="003B184B" w:rsidRPr="002B3025">
        <w:rPr>
          <w:rFonts w:ascii="Verdana" w:hAnsi="Verdana" w:cs="Arial"/>
          <w:bCs/>
          <w:sz w:val="20"/>
          <w:szCs w:val="20"/>
          <w:lang w:val="es-ES_tradnl"/>
        </w:rPr>
        <w:t xml:space="preserve"> </w:t>
      </w:r>
      <w:r w:rsidR="002B3025" w:rsidRPr="002B3025">
        <w:rPr>
          <w:rFonts w:ascii="Verdana" w:hAnsi="Verdana" w:cs="Arial"/>
          <w:bCs/>
          <w:sz w:val="20"/>
          <w:szCs w:val="20"/>
        </w:rPr>
        <w:t>la entidad presenta alguna de las siguientes situaciones</w:t>
      </w:r>
      <w:r w:rsidR="006C345C">
        <w:rPr>
          <w:rFonts w:ascii="Verdana" w:hAnsi="Verdana" w:cs="Arial"/>
          <w:bCs/>
          <w:sz w:val="20"/>
          <w:szCs w:val="20"/>
        </w:rPr>
        <w:t>:</w:t>
      </w:r>
      <w:r w:rsidR="002B3025" w:rsidRPr="002B3025">
        <w:rPr>
          <w:rFonts w:ascii="Verdana" w:hAnsi="Verdana" w:cs="Arial"/>
          <w:bCs/>
          <w:sz w:val="20"/>
          <w:szCs w:val="20"/>
        </w:rPr>
        <w:t xml:space="preserve"> no presentó un plan de ajuste en los términos descritos anteriormente</w:t>
      </w:r>
      <w:r w:rsidR="0015029C">
        <w:rPr>
          <w:rFonts w:ascii="Verdana" w:hAnsi="Verdana" w:cs="Arial"/>
          <w:bCs/>
          <w:sz w:val="20"/>
          <w:szCs w:val="20"/>
        </w:rPr>
        <w:t>,</w:t>
      </w:r>
      <w:r w:rsidR="002B3025" w:rsidRPr="002B3025">
        <w:rPr>
          <w:rFonts w:ascii="Verdana" w:hAnsi="Verdana" w:cs="Arial"/>
          <w:bCs/>
          <w:sz w:val="20"/>
          <w:szCs w:val="20"/>
        </w:rPr>
        <w:t xml:space="preserve"> el plan de ajuste fue objetado por la SFC</w:t>
      </w:r>
      <w:r w:rsidR="0015029C">
        <w:rPr>
          <w:rFonts w:ascii="Verdana" w:hAnsi="Verdana" w:cs="Arial"/>
          <w:bCs/>
          <w:sz w:val="20"/>
          <w:szCs w:val="20"/>
        </w:rPr>
        <w:t>,</w:t>
      </w:r>
      <w:r w:rsidR="002B3025" w:rsidRPr="002B3025">
        <w:rPr>
          <w:rFonts w:ascii="Verdana" w:hAnsi="Verdana" w:cs="Arial"/>
          <w:bCs/>
          <w:sz w:val="20"/>
          <w:szCs w:val="20"/>
        </w:rPr>
        <w:t xml:space="preserve"> las medidas prudenciales enunciadas en dicho plan se incumplieron</w:t>
      </w:r>
      <w:r w:rsidR="0015029C">
        <w:rPr>
          <w:rFonts w:ascii="Verdana" w:hAnsi="Verdana" w:cs="Arial"/>
          <w:bCs/>
          <w:sz w:val="20"/>
          <w:szCs w:val="20"/>
        </w:rPr>
        <w:t>,</w:t>
      </w:r>
      <w:r w:rsidR="002B3025" w:rsidRPr="002B3025">
        <w:rPr>
          <w:rFonts w:ascii="Verdana" w:hAnsi="Verdana" w:cs="Arial"/>
          <w:bCs/>
          <w:sz w:val="20"/>
          <w:szCs w:val="20"/>
        </w:rPr>
        <w:t xml:space="preserve"> la implementación del plan de ajuste no permitió restablecer el IRL</w:t>
      </w:r>
      <w:r w:rsidR="002B3025" w:rsidRPr="002B3025">
        <w:rPr>
          <w:rFonts w:ascii="Verdana" w:hAnsi="Verdana" w:cs="Arial"/>
          <w:bCs/>
          <w:sz w:val="20"/>
          <w:szCs w:val="20"/>
          <w:vertAlign w:val="subscript"/>
        </w:rPr>
        <w:t xml:space="preserve">r </w:t>
      </w:r>
      <w:r w:rsidR="002B3025" w:rsidRPr="002B3025">
        <w:rPr>
          <w:rFonts w:ascii="Verdana" w:hAnsi="Verdana" w:cs="Arial"/>
          <w:bCs/>
          <w:sz w:val="20"/>
          <w:szCs w:val="20"/>
        </w:rPr>
        <w:t xml:space="preserve">a </w:t>
      </w:r>
      <w:r w:rsidR="00D965B4" w:rsidRPr="00845771">
        <w:rPr>
          <w:rFonts w:ascii="Verdana" w:hAnsi="Verdana" w:cs="Arial"/>
          <w:bCs/>
          <w:sz w:val="20"/>
          <w:szCs w:val="20"/>
        </w:rPr>
        <w:t>un valor superior 1,1 veces el límite aplicable a la banda correspondiente</w:t>
      </w:r>
      <w:r w:rsidR="002B3025" w:rsidRPr="002B3025">
        <w:rPr>
          <w:rFonts w:ascii="Verdana" w:hAnsi="Verdana" w:cs="Arial"/>
          <w:bCs/>
          <w:sz w:val="20"/>
          <w:szCs w:val="20"/>
        </w:rPr>
        <w:t xml:space="preserve"> dentro de los</w:t>
      </w:r>
      <w:r w:rsidR="00BD6988">
        <w:rPr>
          <w:rFonts w:ascii="Verdana" w:hAnsi="Verdana" w:cs="Arial"/>
          <w:bCs/>
          <w:sz w:val="20"/>
          <w:szCs w:val="20"/>
        </w:rPr>
        <w:t xml:space="preserve"> </w:t>
      </w:r>
      <w:r w:rsidR="002B3025" w:rsidRPr="002B3025">
        <w:rPr>
          <w:rFonts w:ascii="Verdana" w:hAnsi="Verdana" w:cs="Arial"/>
          <w:bCs/>
          <w:sz w:val="20"/>
          <w:szCs w:val="20"/>
        </w:rPr>
        <w:t>5 días hábiles establecidos, o por tercera ocasión en un periodo de 30 días calendario presenta un plan de ajuste, no podrá realizar:</w:t>
      </w:r>
    </w:p>
    <w:p w14:paraId="48801F96" w14:textId="77777777" w:rsidR="002B3025" w:rsidRPr="00BD6988" w:rsidRDefault="002B3025" w:rsidP="00551D66">
      <w:pPr>
        <w:pStyle w:val="Prrafodelista"/>
        <w:numPr>
          <w:ilvl w:val="0"/>
          <w:numId w:val="29"/>
        </w:numPr>
        <w:spacing w:after="0" w:line="240" w:lineRule="auto"/>
        <w:ind w:left="567" w:hanging="567"/>
        <w:jc w:val="both"/>
        <w:rPr>
          <w:rFonts w:ascii="Verdana" w:hAnsi="Verdana" w:cs="Arial"/>
          <w:bCs/>
          <w:sz w:val="20"/>
          <w:szCs w:val="20"/>
          <w:lang w:val="es-ES_tradnl"/>
        </w:rPr>
      </w:pPr>
      <w:r w:rsidRPr="00BD6988">
        <w:rPr>
          <w:rFonts w:ascii="Verdana" w:hAnsi="Verdana" w:cs="Arial"/>
          <w:bCs/>
          <w:sz w:val="20"/>
          <w:szCs w:val="20"/>
          <w:lang w:val="es-ES_tradnl"/>
        </w:rPr>
        <w:t>Operaciones activas de mercado monetario por cuenta propia.</w:t>
      </w:r>
    </w:p>
    <w:p w14:paraId="76489ED2" w14:textId="77777777" w:rsidR="002B3025" w:rsidRPr="002B3025" w:rsidRDefault="002B3025" w:rsidP="00BD6988">
      <w:pPr>
        <w:pStyle w:val="Prrafodelista"/>
        <w:ind w:left="567" w:hanging="567"/>
        <w:jc w:val="both"/>
        <w:rPr>
          <w:rFonts w:ascii="Verdana" w:hAnsi="Verdana" w:cs="Arial"/>
          <w:bCs/>
          <w:sz w:val="20"/>
          <w:szCs w:val="20"/>
          <w:lang w:val="es-ES_tradnl"/>
        </w:rPr>
      </w:pPr>
    </w:p>
    <w:p w14:paraId="5B01DC9E" w14:textId="77777777" w:rsidR="002B3025" w:rsidRPr="00BD6988" w:rsidRDefault="002B3025" w:rsidP="00551D66">
      <w:pPr>
        <w:pStyle w:val="Prrafodelista"/>
        <w:numPr>
          <w:ilvl w:val="0"/>
          <w:numId w:val="29"/>
        </w:numPr>
        <w:spacing w:after="0" w:line="240" w:lineRule="auto"/>
        <w:ind w:left="567" w:hanging="567"/>
        <w:jc w:val="both"/>
        <w:rPr>
          <w:rFonts w:ascii="Verdana" w:hAnsi="Verdana" w:cs="Arial"/>
          <w:sz w:val="20"/>
          <w:szCs w:val="20"/>
          <w:lang w:val="es-ES"/>
        </w:rPr>
      </w:pPr>
      <w:r w:rsidRPr="60169A51">
        <w:rPr>
          <w:rFonts w:ascii="Verdana" w:hAnsi="Verdana" w:cs="Arial"/>
          <w:sz w:val="20"/>
          <w:szCs w:val="20"/>
          <w:lang w:val="es-ES"/>
        </w:rPr>
        <w:t>Compra de inversiones y en general de nuevas adquisiciones por cuenta propia.</w:t>
      </w:r>
    </w:p>
    <w:p w14:paraId="71797CD3" w14:textId="77777777" w:rsidR="002B3025" w:rsidRPr="002B3025" w:rsidRDefault="002B3025" w:rsidP="00BD6988">
      <w:pPr>
        <w:ind w:left="567" w:hanging="567"/>
        <w:jc w:val="both"/>
        <w:rPr>
          <w:rFonts w:ascii="Verdana" w:hAnsi="Verdana" w:cs="Arial"/>
          <w:bCs/>
          <w:sz w:val="20"/>
          <w:szCs w:val="20"/>
          <w:lang w:val="es-ES_tradnl"/>
        </w:rPr>
      </w:pPr>
    </w:p>
    <w:p w14:paraId="25A036EA" w14:textId="77777777" w:rsidR="004A5B4A" w:rsidRDefault="002B3025" w:rsidP="00551D66">
      <w:pPr>
        <w:pStyle w:val="Prrafodelista"/>
        <w:numPr>
          <w:ilvl w:val="0"/>
          <w:numId w:val="29"/>
        </w:numPr>
        <w:spacing w:after="0" w:line="240" w:lineRule="auto"/>
        <w:ind w:left="567" w:hanging="567"/>
        <w:jc w:val="both"/>
        <w:rPr>
          <w:rFonts w:ascii="Verdana" w:hAnsi="Verdana" w:cs="Arial"/>
          <w:bCs/>
          <w:sz w:val="20"/>
          <w:szCs w:val="20"/>
          <w:lang w:val="es-ES_tradnl"/>
        </w:rPr>
      </w:pPr>
      <w:r w:rsidRPr="00BD6988">
        <w:rPr>
          <w:rFonts w:ascii="Verdana" w:hAnsi="Verdana" w:cs="Arial"/>
          <w:bCs/>
          <w:sz w:val="20"/>
          <w:szCs w:val="20"/>
          <w:lang w:val="es-ES_tradnl"/>
        </w:rPr>
        <w:t>Vinculación de nuevos clientes.</w:t>
      </w:r>
    </w:p>
    <w:p w14:paraId="217BC73D" w14:textId="77777777" w:rsidR="004A5B4A" w:rsidRDefault="004A5B4A" w:rsidP="004A5B4A">
      <w:pPr>
        <w:spacing w:after="0" w:line="240" w:lineRule="auto"/>
        <w:jc w:val="both"/>
        <w:rPr>
          <w:rFonts w:ascii="Verdana" w:hAnsi="Verdana"/>
          <w:sz w:val="20"/>
          <w:szCs w:val="20"/>
        </w:rPr>
      </w:pPr>
    </w:p>
    <w:p w14:paraId="686452FD" w14:textId="0538AF79" w:rsidR="00BD6988" w:rsidRPr="004A5B4A" w:rsidRDefault="00BD6988" w:rsidP="004A5B4A">
      <w:pPr>
        <w:spacing w:after="0" w:line="240" w:lineRule="auto"/>
        <w:jc w:val="both"/>
        <w:rPr>
          <w:rFonts w:ascii="Verdana" w:hAnsi="Verdana" w:cs="Arial"/>
          <w:bCs/>
          <w:sz w:val="20"/>
          <w:szCs w:val="20"/>
          <w:lang w:val="es-ES_tradnl"/>
        </w:rPr>
      </w:pPr>
      <w:r w:rsidRPr="004A5B4A">
        <w:rPr>
          <w:rFonts w:ascii="Verdana" w:hAnsi="Verdana"/>
          <w:sz w:val="20"/>
          <w:szCs w:val="20"/>
        </w:rPr>
        <w:t>1.1.3.1</w:t>
      </w:r>
      <w:r w:rsidR="00854FDC">
        <w:rPr>
          <w:rFonts w:ascii="Verdana" w:hAnsi="Verdana"/>
          <w:sz w:val="20"/>
          <w:szCs w:val="20"/>
        </w:rPr>
        <w:t>81</w:t>
      </w:r>
      <w:r w:rsidRPr="004A5B4A">
        <w:rPr>
          <w:rFonts w:ascii="Verdana" w:hAnsi="Verdana"/>
          <w:sz w:val="20"/>
          <w:szCs w:val="20"/>
        </w:rPr>
        <w:t>.</w:t>
      </w:r>
    </w:p>
    <w:p w14:paraId="6D08FD7C" w14:textId="2503F7A2" w:rsidR="002B3025" w:rsidRPr="002B3025" w:rsidRDefault="002B3025" w:rsidP="00B929BB">
      <w:pPr>
        <w:jc w:val="both"/>
        <w:rPr>
          <w:rFonts w:ascii="Verdana" w:hAnsi="Verdana" w:cs="Arial"/>
          <w:sz w:val="20"/>
          <w:szCs w:val="20"/>
          <w:lang w:val="es-ES"/>
        </w:rPr>
      </w:pPr>
      <w:r w:rsidRPr="163C8172">
        <w:rPr>
          <w:rFonts w:ascii="Verdana" w:hAnsi="Verdana" w:cs="Arial"/>
          <w:sz w:val="20"/>
          <w:szCs w:val="20"/>
          <w:lang w:val="es-ES"/>
        </w:rPr>
        <w:t>Para efectos de lo anterior, la realización de alguna de las</w:t>
      </w:r>
      <w:r w:rsidRPr="163C8172" w:rsidDel="00A25E8D">
        <w:rPr>
          <w:rFonts w:ascii="Verdana" w:hAnsi="Verdana" w:cs="Arial"/>
          <w:sz w:val="20"/>
          <w:szCs w:val="20"/>
          <w:lang w:val="es-ES"/>
        </w:rPr>
        <w:t xml:space="preserve"> </w:t>
      </w:r>
      <w:r w:rsidRPr="163C8172">
        <w:rPr>
          <w:rFonts w:ascii="Verdana" w:hAnsi="Verdana" w:cs="Arial"/>
          <w:sz w:val="20"/>
          <w:szCs w:val="20"/>
          <w:lang w:val="es-ES"/>
        </w:rPr>
        <w:t xml:space="preserve">operaciones </w:t>
      </w:r>
      <w:r w:rsidR="0091337B">
        <w:rPr>
          <w:rFonts w:ascii="Verdana" w:hAnsi="Verdana" w:cs="Arial"/>
          <w:sz w:val="20"/>
          <w:szCs w:val="20"/>
          <w:lang w:val="es-ES"/>
        </w:rPr>
        <w:t xml:space="preserve">citadas en los literales </w:t>
      </w:r>
      <w:r w:rsidR="0017289C">
        <w:rPr>
          <w:rFonts w:ascii="Verdana" w:hAnsi="Verdana" w:cs="Arial"/>
          <w:sz w:val="20"/>
          <w:szCs w:val="20"/>
          <w:lang w:val="es-ES"/>
        </w:rPr>
        <w:t xml:space="preserve">a, b y c </w:t>
      </w:r>
      <w:r w:rsidR="0091337B">
        <w:rPr>
          <w:rFonts w:ascii="Verdana" w:hAnsi="Verdana" w:cs="Arial"/>
          <w:sz w:val="20"/>
          <w:szCs w:val="20"/>
          <w:lang w:val="es-ES"/>
        </w:rPr>
        <w:t xml:space="preserve">del párrafo anterior, </w:t>
      </w:r>
      <w:r w:rsidRPr="163C8172">
        <w:rPr>
          <w:rFonts w:ascii="Verdana" w:hAnsi="Verdana" w:cs="Arial"/>
          <w:sz w:val="20"/>
          <w:szCs w:val="20"/>
          <w:lang w:val="es-ES"/>
        </w:rPr>
        <w:t xml:space="preserve">bajo los supuestos planteados en el </w:t>
      </w:r>
      <w:r w:rsidR="0017289C">
        <w:rPr>
          <w:rFonts w:ascii="Verdana" w:hAnsi="Verdana" w:cs="Arial"/>
          <w:sz w:val="20"/>
          <w:szCs w:val="20"/>
          <w:lang w:val="es-ES"/>
        </w:rPr>
        <w:t>citado párrafo</w:t>
      </w:r>
      <w:r w:rsidR="00D666D0">
        <w:rPr>
          <w:rFonts w:ascii="Verdana" w:hAnsi="Verdana" w:cs="Arial"/>
          <w:sz w:val="20"/>
          <w:szCs w:val="20"/>
          <w:lang w:val="es-ES"/>
        </w:rPr>
        <w:t>,</w:t>
      </w:r>
      <w:r w:rsidRPr="163C8172">
        <w:rPr>
          <w:rFonts w:ascii="Verdana" w:hAnsi="Verdana" w:cs="Arial"/>
          <w:sz w:val="20"/>
          <w:szCs w:val="20"/>
          <w:lang w:val="es-ES"/>
        </w:rPr>
        <w:t xml:space="preserve"> se considera práctica insegura.</w:t>
      </w:r>
    </w:p>
    <w:p w14:paraId="2B11BB8C" w14:textId="0A646D86" w:rsidR="00BD71BD" w:rsidRPr="001C6CAB" w:rsidRDefault="00BD71BD" w:rsidP="00BD71BD">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854FDC">
        <w:rPr>
          <w:rFonts w:ascii="Verdana" w:hAnsi="Verdana"/>
          <w:sz w:val="20"/>
          <w:szCs w:val="20"/>
        </w:rPr>
        <w:t>82</w:t>
      </w:r>
      <w:r w:rsidRPr="001C6CAB">
        <w:rPr>
          <w:rFonts w:ascii="Verdana" w:hAnsi="Verdana"/>
          <w:sz w:val="20"/>
          <w:szCs w:val="20"/>
        </w:rPr>
        <w:t>.</w:t>
      </w:r>
    </w:p>
    <w:p w14:paraId="7A0E3B7C" w14:textId="1F0F7795" w:rsidR="00BD71BD" w:rsidRPr="004A5B4A" w:rsidRDefault="002B3025" w:rsidP="00B929BB">
      <w:pPr>
        <w:jc w:val="both"/>
        <w:rPr>
          <w:rFonts w:ascii="Verdana" w:hAnsi="Verdana" w:cs="Arial"/>
          <w:sz w:val="20"/>
          <w:szCs w:val="20"/>
        </w:rPr>
      </w:pPr>
      <w:r w:rsidRPr="12B437D6">
        <w:rPr>
          <w:rFonts w:ascii="Verdana" w:hAnsi="Verdana" w:cs="Arial"/>
          <w:sz w:val="20"/>
          <w:szCs w:val="20"/>
        </w:rPr>
        <w:t>Sin perjuicio de las sanciones a que haya lugar, una vez la entidad restablezca el IRL</w:t>
      </w:r>
      <w:r w:rsidRPr="12B437D6">
        <w:rPr>
          <w:rFonts w:ascii="Verdana" w:hAnsi="Verdana" w:cs="Arial"/>
          <w:sz w:val="20"/>
          <w:szCs w:val="20"/>
          <w:vertAlign w:val="subscript"/>
        </w:rPr>
        <w:t>r</w:t>
      </w:r>
      <w:r w:rsidRPr="12B437D6">
        <w:rPr>
          <w:rFonts w:ascii="Verdana" w:hAnsi="Verdana" w:cs="Arial"/>
          <w:sz w:val="20"/>
          <w:szCs w:val="20"/>
        </w:rPr>
        <w:t xml:space="preserve"> </w:t>
      </w:r>
      <w:r w:rsidR="00BA507D" w:rsidRPr="00845771">
        <w:rPr>
          <w:rFonts w:ascii="Verdana" w:hAnsi="Verdana" w:cs="Arial"/>
          <w:bCs/>
          <w:sz w:val="20"/>
          <w:szCs w:val="20"/>
        </w:rPr>
        <w:t>a un valor superior 1,1 veces el límite aplicable a la banda correspondiente</w:t>
      </w:r>
      <w:r w:rsidRPr="12B437D6">
        <w:rPr>
          <w:rFonts w:ascii="Verdana" w:hAnsi="Verdana" w:cs="Arial"/>
          <w:sz w:val="20"/>
          <w:szCs w:val="20"/>
        </w:rPr>
        <w:t>, ésta podrá volver a realizar las operaciones anteriormente restringidas.</w:t>
      </w:r>
    </w:p>
    <w:p w14:paraId="0DDFDA46" w14:textId="7E7C01A2" w:rsidR="002B3025" w:rsidRDefault="002B3025" w:rsidP="00551D66">
      <w:pPr>
        <w:pStyle w:val="Prrafodelista"/>
        <w:numPr>
          <w:ilvl w:val="0"/>
          <w:numId w:val="40"/>
        </w:numPr>
        <w:ind w:left="567" w:hanging="283"/>
        <w:jc w:val="both"/>
        <w:rPr>
          <w:rFonts w:ascii="Verdana" w:hAnsi="Verdana" w:cs="Arial"/>
          <w:b/>
          <w:bCs/>
          <w:sz w:val="20"/>
          <w:szCs w:val="20"/>
        </w:rPr>
      </w:pPr>
      <w:r w:rsidRPr="004A5B4A">
        <w:rPr>
          <w:rFonts w:ascii="Verdana" w:hAnsi="Verdana" w:cs="Arial"/>
          <w:b/>
          <w:bCs/>
          <w:sz w:val="20"/>
          <w:szCs w:val="20"/>
        </w:rPr>
        <w:t>Medidas prudenciales para contrarrestar la exposición significativa al riesgo de liquidez de los FIC</w:t>
      </w:r>
    </w:p>
    <w:p w14:paraId="67FE079A" w14:textId="27B258A7" w:rsidR="00BD71BD" w:rsidRPr="001C6CAB" w:rsidRDefault="00BD71BD" w:rsidP="00BD71BD">
      <w:pPr>
        <w:spacing w:after="0"/>
        <w:rPr>
          <w:rFonts w:ascii="Verdana" w:hAnsi="Verdana"/>
          <w:sz w:val="20"/>
          <w:szCs w:val="20"/>
        </w:rPr>
      </w:pPr>
      <w:r w:rsidRPr="001C6CAB">
        <w:rPr>
          <w:rFonts w:ascii="Verdana" w:hAnsi="Verdana"/>
          <w:sz w:val="20"/>
          <w:szCs w:val="20"/>
        </w:rPr>
        <w:t>1.1.3.</w:t>
      </w:r>
      <w:r>
        <w:rPr>
          <w:rFonts w:ascii="Verdana" w:hAnsi="Verdana"/>
          <w:sz w:val="20"/>
          <w:szCs w:val="20"/>
        </w:rPr>
        <w:t>1</w:t>
      </w:r>
      <w:r w:rsidR="00854FDC">
        <w:rPr>
          <w:rFonts w:ascii="Verdana" w:hAnsi="Verdana"/>
          <w:sz w:val="20"/>
          <w:szCs w:val="20"/>
        </w:rPr>
        <w:t>83</w:t>
      </w:r>
      <w:r w:rsidRPr="001C6CAB">
        <w:rPr>
          <w:rFonts w:ascii="Verdana" w:hAnsi="Verdana"/>
          <w:sz w:val="20"/>
          <w:szCs w:val="20"/>
        </w:rPr>
        <w:t>.</w:t>
      </w:r>
    </w:p>
    <w:p w14:paraId="22D45969" w14:textId="2E8BABCE" w:rsidR="004A5B4A" w:rsidRDefault="004A5B4A" w:rsidP="004A5B4A">
      <w:pPr>
        <w:jc w:val="both"/>
        <w:rPr>
          <w:rFonts w:ascii="Verdana" w:hAnsi="Verdana" w:cs="Arial"/>
          <w:bCs/>
          <w:sz w:val="20"/>
          <w:szCs w:val="20"/>
        </w:rPr>
      </w:pPr>
      <w:r>
        <w:rPr>
          <w:rFonts w:ascii="Verdana" w:hAnsi="Verdana" w:cs="Arial"/>
          <w:bCs/>
          <w:sz w:val="20"/>
          <w:szCs w:val="20"/>
        </w:rPr>
        <w:t>Deber de información a la SFC: c</w:t>
      </w:r>
      <w:r w:rsidR="002B3025" w:rsidRPr="002B3025">
        <w:rPr>
          <w:rFonts w:ascii="Verdana" w:hAnsi="Verdana" w:cs="Arial"/>
          <w:bCs/>
          <w:sz w:val="20"/>
          <w:szCs w:val="20"/>
        </w:rPr>
        <w:t>uando una sociedad administradora advierta que un FIC abierto sin pacto de permanencia prese</w:t>
      </w:r>
      <w:r w:rsidR="002B3025" w:rsidRPr="008F3E76">
        <w:rPr>
          <w:rFonts w:ascii="Verdana" w:hAnsi="Verdana" w:cs="Arial"/>
          <w:bCs/>
          <w:sz w:val="20"/>
          <w:szCs w:val="20"/>
        </w:rPr>
        <w:t>nta una exposición significativa al riesgo de liquidez, y/o el incumplimiento de alguno de los límites establecidos e</w:t>
      </w:r>
      <w:r w:rsidR="008F3E76" w:rsidRPr="008F3E76">
        <w:rPr>
          <w:rFonts w:ascii="Verdana" w:hAnsi="Verdana" w:cs="Arial"/>
          <w:bCs/>
          <w:sz w:val="20"/>
          <w:szCs w:val="20"/>
        </w:rPr>
        <w:t xml:space="preserve">ntre los párrafos 1.1.A11.25. y 1.1.A11.31. de la </w:t>
      </w:r>
      <w:r w:rsidR="006317A5">
        <w:rPr>
          <w:rFonts w:ascii="Verdana" w:hAnsi="Verdana" w:cs="Arial"/>
          <w:bCs/>
          <w:sz w:val="20"/>
          <w:szCs w:val="20"/>
        </w:rPr>
        <w:t>CBF</w:t>
      </w:r>
      <w:r w:rsidR="002B3025" w:rsidRPr="008F3E76">
        <w:rPr>
          <w:rFonts w:ascii="Verdana" w:hAnsi="Verdana" w:cs="Arial"/>
          <w:bCs/>
          <w:sz w:val="20"/>
          <w:szCs w:val="20"/>
        </w:rPr>
        <w:t>, el representante legal de la entidad debe informar por escrito a la Delegatura para Riesgos de</w:t>
      </w:r>
      <w:r w:rsidR="002B3025" w:rsidRPr="002B3025">
        <w:rPr>
          <w:rFonts w:ascii="Verdana" w:hAnsi="Verdana" w:cs="Arial"/>
          <w:bCs/>
          <w:sz w:val="20"/>
          <w:szCs w:val="20"/>
        </w:rPr>
        <w:t xml:space="preserve"> Mercado y Liquidez y a la </w:t>
      </w:r>
      <w:r w:rsidR="002B3025" w:rsidRPr="008077D1">
        <w:rPr>
          <w:rFonts w:ascii="Verdana" w:hAnsi="Verdana" w:cs="Arial"/>
          <w:bCs/>
          <w:sz w:val="20"/>
          <w:szCs w:val="20"/>
        </w:rPr>
        <w:t>Delegatura</w:t>
      </w:r>
      <w:r w:rsidR="008077D1">
        <w:rPr>
          <w:rFonts w:ascii="Verdana" w:hAnsi="Verdana" w:cs="Arial"/>
          <w:bCs/>
          <w:sz w:val="20"/>
          <w:szCs w:val="20"/>
        </w:rPr>
        <w:t xml:space="preserve"> </w:t>
      </w:r>
      <w:r w:rsidR="008077D1" w:rsidRPr="00D666D0">
        <w:rPr>
          <w:rFonts w:ascii="Verdana" w:hAnsi="Verdana" w:cs="Arial"/>
          <w:bCs/>
          <w:sz w:val="20"/>
          <w:szCs w:val="20"/>
        </w:rPr>
        <w:t>Institucional correspondiente</w:t>
      </w:r>
      <w:r w:rsidR="002B3025" w:rsidRPr="00D666D0">
        <w:rPr>
          <w:rFonts w:ascii="Verdana" w:hAnsi="Verdana" w:cs="Arial"/>
          <w:bCs/>
          <w:sz w:val="20"/>
          <w:szCs w:val="20"/>
        </w:rPr>
        <w:t>,</w:t>
      </w:r>
      <w:r w:rsidR="002B3025" w:rsidRPr="002B3025">
        <w:rPr>
          <w:rFonts w:ascii="Verdana" w:hAnsi="Verdana" w:cs="Arial"/>
          <w:bCs/>
          <w:sz w:val="20"/>
          <w:szCs w:val="20"/>
        </w:rPr>
        <w:t xml:space="preserve"> el día hábil siguiente a la fecha de corte en la que se presenta el incumplimiento, las razones fundamentales que lo originaron.</w:t>
      </w:r>
    </w:p>
    <w:p w14:paraId="0F6B91EC" w14:textId="02FC82A9" w:rsidR="004A5B4A" w:rsidRPr="004A5B4A" w:rsidRDefault="00BD71BD" w:rsidP="004A5B4A">
      <w:pPr>
        <w:spacing w:after="0"/>
        <w:jc w:val="both"/>
        <w:rPr>
          <w:rFonts w:ascii="Verdana" w:hAnsi="Verdana" w:cs="Arial"/>
          <w:bCs/>
          <w:sz w:val="20"/>
          <w:szCs w:val="20"/>
        </w:rPr>
      </w:pPr>
      <w:r w:rsidRPr="001C6CAB">
        <w:rPr>
          <w:rFonts w:ascii="Verdana" w:hAnsi="Verdana"/>
          <w:sz w:val="20"/>
          <w:szCs w:val="20"/>
        </w:rPr>
        <w:t>1.1.3.</w:t>
      </w:r>
      <w:r>
        <w:rPr>
          <w:rFonts w:ascii="Verdana" w:hAnsi="Verdana"/>
          <w:sz w:val="20"/>
          <w:szCs w:val="20"/>
        </w:rPr>
        <w:t>1</w:t>
      </w:r>
      <w:r w:rsidR="00854FDC">
        <w:rPr>
          <w:rFonts w:ascii="Verdana" w:hAnsi="Verdana"/>
          <w:sz w:val="20"/>
          <w:szCs w:val="20"/>
        </w:rPr>
        <w:t>84</w:t>
      </w:r>
      <w:r w:rsidRPr="001C6CAB">
        <w:rPr>
          <w:rFonts w:ascii="Verdana" w:hAnsi="Verdana"/>
          <w:sz w:val="20"/>
          <w:szCs w:val="20"/>
        </w:rPr>
        <w:t>.</w:t>
      </w:r>
    </w:p>
    <w:p w14:paraId="689204D5" w14:textId="16BA4248" w:rsidR="002B3025" w:rsidRPr="004A5B4A" w:rsidRDefault="004A5B4A" w:rsidP="004A5B4A">
      <w:pPr>
        <w:jc w:val="both"/>
        <w:rPr>
          <w:rFonts w:ascii="Verdana" w:hAnsi="Verdana" w:cs="Arial"/>
          <w:b/>
          <w:sz w:val="20"/>
          <w:szCs w:val="20"/>
        </w:rPr>
      </w:pPr>
      <w:r w:rsidRPr="004A5B4A">
        <w:rPr>
          <w:rFonts w:ascii="Verdana" w:hAnsi="Verdana" w:cs="Arial"/>
          <w:bCs/>
          <w:sz w:val="20"/>
          <w:szCs w:val="20"/>
        </w:rPr>
        <w:t>Requerimiento del plan de ajuste: c</w:t>
      </w:r>
      <w:r w:rsidR="002B3025" w:rsidRPr="002B3025">
        <w:rPr>
          <w:rFonts w:ascii="Verdana" w:hAnsi="Verdana" w:cs="Arial"/>
          <w:bCs/>
          <w:sz w:val="20"/>
          <w:szCs w:val="20"/>
        </w:rPr>
        <w:t xml:space="preserve">uando una sociedad administradora advierta que durante dos días hábiles en un periodo de cinco días hábiles, un FIC abierto sin pacto de permanencia presenta una exposición significativa al riesgo de liquidez y/o el incumplimiento </w:t>
      </w:r>
      <w:r w:rsidR="002B3025" w:rsidRPr="00F27906">
        <w:rPr>
          <w:rFonts w:ascii="Verdana" w:hAnsi="Verdana" w:cs="Arial"/>
          <w:bCs/>
          <w:sz w:val="20"/>
          <w:szCs w:val="20"/>
        </w:rPr>
        <w:t xml:space="preserve">de alguno de los límites establecidos </w:t>
      </w:r>
      <w:r w:rsidR="00F27906" w:rsidRPr="00F27906">
        <w:rPr>
          <w:rFonts w:ascii="Verdana" w:hAnsi="Verdana" w:cs="Arial"/>
          <w:bCs/>
          <w:sz w:val="20"/>
          <w:szCs w:val="20"/>
        </w:rPr>
        <w:t xml:space="preserve">entre los párrafos 1.1.A11.25. y 1.1.A11.31. de la </w:t>
      </w:r>
      <w:r w:rsidR="006317A5">
        <w:rPr>
          <w:rFonts w:ascii="Verdana" w:hAnsi="Verdana" w:cs="Arial"/>
          <w:bCs/>
          <w:sz w:val="20"/>
          <w:szCs w:val="20"/>
        </w:rPr>
        <w:t>CBF</w:t>
      </w:r>
      <w:r w:rsidR="002B3025" w:rsidRPr="00F27906">
        <w:rPr>
          <w:rFonts w:ascii="Verdana" w:hAnsi="Verdana" w:cs="Arial"/>
          <w:bCs/>
          <w:sz w:val="20"/>
          <w:szCs w:val="20"/>
        </w:rPr>
        <w:t>, el</w:t>
      </w:r>
      <w:r w:rsidR="002B3025" w:rsidRPr="002B3025">
        <w:rPr>
          <w:rFonts w:ascii="Verdana" w:hAnsi="Verdana" w:cs="Arial"/>
          <w:bCs/>
          <w:sz w:val="20"/>
          <w:szCs w:val="20"/>
        </w:rPr>
        <w:t xml:space="preserve"> representante legal de la entidad debe remitir por escrito a la Delegatura para Riesgos de Mercado e Integridad y a la </w:t>
      </w:r>
      <w:r w:rsidR="002B3025" w:rsidRPr="00D666D0">
        <w:rPr>
          <w:rFonts w:ascii="Verdana" w:hAnsi="Verdana" w:cs="Arial"/>
          <w:bCs/>
          <w:sz w:val="20"/>
          <w:szCs w:val="20"/>
        </w:rPr>
        <w:t xml:space="preserve">Delegatura </w:t>
      </w:r>
      <w:r w:rsidR="008077D1" w:rsidRPr="00D666D0">
        <w:rPr>
          <w:rFonts w:ascii="Verdana" w:hAnsi="Verdana" w:cs="Arial"/>
          <w:bCs/>
          <w:sz w:val="20"/>
          <w:szCs w:val="20"/>
        </w:rPr>
        <w:t>Institucional correspondiente</w:t>
      </w:r>
      <w:r w:rsidR="002B3025" w:rsidRPr="00D666D0">
        <w:rPr>
          <w:rFonts w:ascii="Verdana" w:hAnsi="Verdana" w:cs="Arial"/>
          <w:bCs/>
          <w:sz w:val="20"/>
          <w:szCs w:val="20"/>
        </w:rPr>
        <w:t>,</w:t>
      </w:r>
      <w:r w:rsidR="002B3025" w:rsidRPr="002B3025">
        <w:rPr>
          <w:rFonts w:ascii="Verdana" w:hAnsi="Verdana" w:cs="Arial"/>
          <w:bCs/>
          <w:sz w:val="20"/>
          <w:szCs w:val="20"/>
        </w:rPr>
        <w:t xml:space="preserve"> un plan de ajuste que contenga:</w:t>
      </w:r>
    </w:p>
    <w:p w14:paraId="057770C4" w14:textId="77777777" w:rsidR="002B3025" w:rsidRPr="00AE587D" w:rsidRDefault="002B3025" w:rsidP="00551D66">
      <w:pPr>
        <w:pStyle w:val="Prrafodelista"/>
        <w:numPr>
          <w:ilvl w:val="0"/>
          <w:numId w:val="30"/>
        </w:numPr>
        <w:spacing w:after="0" w:line="240" w:lineRule="auto"/>
        <w:ind w:left="567" w:hanging="567"/>
        <w:jc w:val="both"/>
        <w:rPr>
          <w:rFonts w:ascii="Verdana" w:hAnsi="Verdana" w:cs="Arial"/>
          <w:bCs/>
          <w:sz w:val="20"/>
          <w:szCs w:val="20"/>
          <w:lang w:val="es-ES_tradnl"/>
        </w:rPr>
      </w:pPr>
      <w:r w:rsidRPr="00AE587D">
        <w:rPr>
          <w:rFonts w:ascii="Verdana" w:hAnsi="Verdana" w:cs="Arial"/>
          <w:bCs/>
          <w:sz w:val="20"/>
          <w:szCs w:val="20"/>
          <w:lang w:val="es-ES_tradnl"/>
        </w:rPr>
        <w:t>Las razones fundamentales que originaron el incumplimiento de los límites establecidos.</w:t>
      </w:r>
    </w:p>
    <w:p w14:paraId="522DC9A5" w14:textId="77777777" w:rsidR="002B3025" w:rsidRPr="002B3025" w:rsidRDefault="002B3025" w:rsidP="00AE587D">
      <w:pPr>
        <w:pStyle w:val="Prrafodelista"/>
        <w:ind w:left="567" w:hanging="567"/>
        <w:jc w:val="both"/>
        <w:rPr>
          <w:rFonts w:ascii="Verdana" w:hAnsi="Verdana" w:cs="Arial"/>
          <w:bCs/>
          <w:sz w:val="20"/>
          <w:szCs w:val="20"/>
          <w:lang w:val="es-ES_tradnl"/>
        </w:rPr>
      </w:pPr>
    </w:p>
    <w:p w14:paraId="59E35552" w14:textId="4DC7357D" w:rsidR="002B3025" w:rsidRDefault="002B3025" w:rsidP="00551D66">
      <w:pPr>
        <w:pStyle w:val="Prrafodelista"/>
        <w:numPr>
          <w:ilvl w:val="0"/>
          <w:numId w:val="30"/>
        </w:numPr>
        <w:spacing w:after="0" w:line="240" w:lineRule="auto"/>
        <w:ind w:left="567" w:hanging="567"/>
        <w:jc w:val="both"/>
        <w:rPr>
          <w:rFonts w:ascii="Verdana" w:hAnsi="Verdana" w:cs="Arial"/>
          <w:bCs/>
          <w:sz w:val="20"/>
          <w:szCs w:val="20"/>
          <w:lang w:val="es-ES_tradnl"/>
        </w:rPr>
      </w:pPr>
      <w:r w:rsidRPr="00AE587D">
        <w:rPr>
          <w:rFonts w:ascii="Verdana" w:hAnsi="Verdana" w:cs="Arial"/>
          <w:bCs/>
          <w:sz w:val="20"/>
          <w:szCs w:val="20"/>
          <w:lang w:val="es-ES_tradnl"/>
        </w:rPr>
        <w:t>Las medidas que adoptará la entidad para dar cumplimiento a los límites establecidos, en un plazo de 5 días hábiles contados a partir del día que remite el plan de ajuste.</w:t>
      </w:r>
    </w:p>
    <w:p w14:paraId="52515CC7" w14:textId="77777777" w:rsidR="004A5B4A" w:rsidRPr="004A5B4A" w:rsidRDefault="004A5B4A" w:rsidP="004A5B4A">
      <w:pPr>
        <w:spacing w:after="0" w:line="240" w:lineRule="auto"/>
        <w:jc w:val="both"/>
        <w:rPr>
          <w:rFonts w:ascii="Verdana" w:hAnsi="Verdana" w:cs="Arial"/>
          <w:bCs/>
          <w:sz w:val="20"/>
          <w:szCs w:val="20"/>
          <w:lang w:val="es-ES_tradnl"/>
        </w:rPr>
      </w:pPr>
    </w:p>
    <w:p w14:paraId="2C78BCBF" w14:textId="77777777" w:rsidR="00043221" w:rsidRDefault="00043221" w:rsidP="00AE587D">
      <w:pPr>
        <w:spacing w:after="0"/>
        <w:rPr>
          <w:rFonts w:ascii="Verdana" w:hAnsi="Verdana"/>
          <w:sz w:val="20"/>
          <w:szCs w:val="20"/>
        </w:rPr>
      </w:pPr>
    </w:p>
    <w:p w14:paraId="3DA99E72" w14:textId="7521CB14" w:rsidR="00AE587D" w:rsidRPr="001C6CAB" w:rsidRDefault="00AE587D" w:rsidP="00AE587D">
      <w:pPr>
        <w:spacing w:after="0"/>
        <w:rPr>
          <w:rFonts w:ascii="Verdana" w:hAnsi="Verdana"/>
          <w:sz w:val="20"/>
          <w:szCs w:val="20"/>
        </w:rPr>
      </w:pPr>
      <w:r w:rsidRPr="001C6CAB">
        <w:rPr>
          <w:rFonts w:ascii="Verdana" w:hAnsi="Verdana"/>
          <w:sz w:val="20"/>
          <w:szCs w:val="20"/>
        </w:rPr>
        <w:lastRenderedPageBreak/>
        <w:t>1.1.3.</w:t>
      </w:r>
      <w:r w:rsidR="00854FDC">
        <w:rPr>
          <w:rFonts w:ascii="Verdana" w:hAnsi="Verdana"/>
          <w:sz w:val="20"/>
          <w:szCs w:val="20"/>
        </w:rPr>
        <w:t>185</w:t>
      </w:r>
      <w:r w:rsidRPr="001C6CAB">
        <w:rPr>
          <w:rFonts w:ascii="Verdana" w:hAnsi="Verdana"/>
          <w:sz w:val="20"/>
          <w:szCs w:val="20"/>
        </w:rPr>
        <w:t>.</w:t>
      </w:r>
    </w:p>
    <w:p w14:paraId="5A1B4664" w14:textId="615B559D" w:rsidR="002B3025" w:rsidRPr="002B3025" w:rsidRDefault="002B3025" w:rsidP="00B929BB">
      <w:pPr>
        <w:jc w:val="both"/>
        <w:rPr>
          <w:rFonts w:ascii="Verdana" w:hAnsi="Verdana" w:cs="Arial"/>
          <w:bCs/>
          <w:sz w:val="20"/>
          <w:szCs w:val="20"/>
          <w:lang w:val="es-ES_tradnl"/>
        </w:rPr>
      </w:pPr>
      <w:r w:rsidRPr="002B3025">
        <w:rPr>
          <w:rFonts w:ascii="Verdana" w:hAnsi="Verdana" w:cs="Arial"/>
          <w:bCs/>
          <w:sz w:val="20"/>
          <w:szCs w:val="20"/>
          <w:lang w:val="es-ES_tradnl"/>
        </w:rPr>
        <w:t>El plan de ajuste debe ser remitido el día hábil siguiente a la fecha de corte del segundo día de incumplimiento.</w:t>
      </w:r>
      <w:r w:rsidR="004A5B4A">
        <w:rPr>
          <w:rFonts w:ascii="Verdana" w:hAnsi="Verdana" w:cs="Arial"/>
          <w:bCs/>
          <w:sz w:val="20"/>
          <w:szCs w:val="20"/>
          <w:lang w:val="es-ES_tradnl"/>
        </w:rPr>
        <w:t xml:space="preserve"> </w:t>
      </w:r>
      <w:r w:rsidRPr="002B3025">
        <w:rPr>
          <w:rFonts w:ascii="Verdana" w:hAnsi="Verdana" w:cs="Arial"/>
          <w:bCs/>
          <w:sz w:val="20"/>
          <w:szCs w:val="20"/>
          <w:lang w:val="es-ES_tradnl"/>
        </w:rPr>
        <w:t>Adicionalmente, mientras se mantenga la exposición significativa al riesgo de liquidez la entidad debe enviar diariamente el reporte sobre la medición del Riesgo de Liquidez, a través del Formato 519 (Proforma F.0000-154), o el que resulte aplicable.</w:t>
      </w:r>
    </w:p>
    <w:p w14:paraId="39D987D8" w14:textId="7E0AA8BE" w:rsidR="00AE587D" w:rsidRPr="001C6CAB" w:rsidRDefault="00AE587D" w:rsidP="00AE587D">
      <w:pPr>
        <w:spacing w:after="0"/>
        <w:rPr>
          <w:rFonts w:ascii="Verdana" w:hAnsi="Verdana"/>
          <w:sz w:val="20"/>
          <w:szCs w:val="20"/>
        </w:rPr>
      </w:pPr>
      <w:r w:rsidRPr="001C6CAB">
        <w:rPr>
          <w:rFonts w:ascii="Verdana" w:hAnsi="Verdana"/>
          <w:sz w:val="20"/>
          <w:szCs w:val="20"/>
        </w:rPr>
        <w:t>1.1.3.</w:t>
      </w:r>
      <w:r w:rsidR="00854FDC" w:rsidRPr="00854FDC">
        <w:rPr>
          <w:rFonts w:ascii="Verdana" w:hAnsi="Verdana"/>
          <w:sz w:val="20"/>
          <w:szCs w:val="20"/>
        </w:rPr>
        <w:t xml:space="preserve"> </w:t>
      </w:r>
      <w:r w:rsidR="00854FDC">
        <w:rPr>
          <w:rFonts w:ascii="Verdana" w:hAnsi="Verdana"/>
          <w:sz w:val="20"/>
          <w:szCs w:val="20"/>
        </w:rPr>
        <w:t>186</w:t>
      </w:r>
      <w:r w:rsidRPr="001C6CAB">
        <w:rPr>
          <w:rFonts w:ascii="Verdana" w:hAnsi="Verdana"/>
          <w:sz w:val="20"/>
          <w:szCs w:val="20"/>
        </w:rPr>
        <w:t>.</w:t>
      </w:r>
    </w:p>
    <w:p w14:paraId="6BA77C9C" w14:textId="185D78F8" w:rsidR="002B3025" w:rsidRPr="002B3025" w:rsidRDefault="002B3025" w:rsidP="00B929BB">
      <w:pPr>
        <w:jc w:val="both"/>
        <w:rPr>
          <w:rFonts w:ascii="Verdana" w:hAnsi="Verdana" w:cs="Arial"/>
          <w:bCs/>
          <w:sz w:val="20"/>
          <w:szCs w:val="20"/>
          <w:lang w:val="es-ES_tradnl"/>
        </w:rPr>
      </w:pPr>
      <w:r w:rsidRPr="002B3025">
        <w:rPr>
          <w:rFonts w:ascii="Verdana" w:hAnsi="Verdana" w:cs="Arial"/>
          <w:bCs/>
          <w:sz w:val="20"/>
          <w:szCs w:val="20"/>
          <w:lang w:val="es-ES_tradnl"/>
        </w:rPr>
        <w:t>En todo caso, los incumplimientos que se registren durante la implementación del plan de ajuste sobre los límites que originaron la suscripción del plan, no darán lugar a los deberes de información o de presentación del plan de ajuste, según sea el caso.</w:t>
      </w:r>
    </w:p>
    <w:p w14:paraId="13644F0E" w14:textId="5EFECC54" w:rsidR="002B3025" w:rsidRPr="004A5B4A" w:rsidRDefault="002B3025" w:rsidP="00551D66">
      <w:pPr>
        <w:pStyle w:val="Prrafodelista"/>
        <w:numPr>
          <w:ilvl w:val="0"/>
          <w:numId w:val="40"/>
        </w:numPr>
        <w:ind w:left="567" w:hanging="283"/>
        <w:jc w:val="both"/>
        <w:rPr>
          <w:rFonts w:ascii="Verdana" w:hAnsi="Verdana" w:cs="Arial"/>
          <w:b/>
          <w:bCs/>
          <w:sz w:val="20"/>
          <w:szCs w:val="20"/>
        </w:rPr>
      </w:pPr>
      <w:r w:rsidRPr="004A5B4A">
        <w:rPr>
          <w:rFonts w:ascii="Verdana" w:hAnsi="Verdana" w:cs="Arial"/>
          <w:b/>
          <w:bCs/>
          <w:sz w:val="20"/>
          <w:szCs w:val="20"/>
        </w:rPr>
        <w:t>Medidas correctivas para contrarrestar la exposición significativa al riesgo de liquidez de los FIC.</w:t>
      </w:r>
    </w:p>
    <w:p w14:paraId="547546F4" w14:textId="08C073CB" w:rsidR="00AE587D" w:rsidRPr="001C6CAB" w:rsidRDefault="00AE587D" w:rsidP="00AE587D">
      <w:pPr>
        <w:spacing w:after="0"/>
        <w:rPr>
          <w:rFonts w:ascii="Verdana" w:hAnsi="Verdana"/>
          <w:sz w:val="20"/>
          <w:szCs w:val="20"/>
        </w:rPr>
      </w:pPr>
      <w:r w:rsidRPr="001C6CAB">
        <w:rPr>
          <w:rFonts w:ascii="Verdana" w:hAnsi="Verdana"/>
          <w:sz w:val="20"/>
          <w:szCs w:val="20"/>
        </w:rPr>
        <w:t>1.1.3.</w:t>
      </w:r>
      <w:r w:rsidR="00854FDC">
        <w:rPr>
          <w:rFonts w:ascii="Verdana" w:hAnsi="Verdana"/>
          <w:sz w:val="20"/>
          <w:szCs w:val="20"/>
        </w:rPr>
        <w:t>187</w:t>
      </w:r>
      <w:r w:rsidRPr="001C6CAB">
        <w:rPr>
          <w:rFonts w:ascii="Verdana" w:hAnsi="Verdana"/>
          <w:sz w:val="20"/>
          <w:szCs w:val="20"/>
        </w:rPr>
        <w:t>.</w:t>
      </w:r>
    </w:p>
    <w:p w14:paraId="5DB9A822" w14:textId="25D69070" w:rsidR="002B3025" w:rsidRPr="002B3025" w:rsidRDefault="002B3025" w:rsidP="00B929BB">
      <w:pPr>
        <w:jc w:val="both"/>
        <w:rPr>
          <w:rFonts w:ascii="Verdana" w:hAnsi="Verdana" w:cs="Arial"/>
          <w:bCs/>
          <w:sz w:val="20"/>
          <w:szCs w:val="20"/>
        </w:rPr>
      </w:pPr>
      <w:r w:rsidRPr="002B3025">
        <w:rPr>
          <w:rFonts w:ascii="Verdana" w:hAnsi="Verdana" w:cs="Arial"/>
          <w:bCs/>
          <w:sz w:val="20"/>
          <w:szCs w:val="20"/>
        </w:rPr>
        <w:t xml:space="preserve">Si durante el plazo de implementación del plan de ajuste la sociedad administradora del FIC no restableció los límites, debe remitir inmediatamente un nuevo plan </w:t>
      </w:r>
      <w:r w:rsidR="00043B75">
        <w:rPr>
          <w:rFonts w:ascii="Verdana" w:hAnsi="Verdana" w:cs="Arial"/>
          <w:bCs/>
          <w:sz w:val="20"/>
          <w:szCs w:val="20"/>
        </w:rPr>
        <w:t xml:space="preserve">de ajuste </w:t>
      </w:r>
      <w:r w:rsidRPr="002B3025">
        <w:rPr>
          <w:rFonts w:ascii="Verdana" w:hAnsi="Verdana" w:cs="Arial"/>
          <w:bCs/>
          <w:sz w:val="20"/>
          <w:szCs w:val="20"/>
        </w:rPr>
        <w:t>a la SFC en los términos establecidos anteriormente y no podrá realizar las siguientes actividades hasta corregir la exposición significativa al riesgo de liquidez:</w:t>
      </w:r>
    </w:p>
    <w:p w14:paraId="1E5CCCEB" w14:textId="77777777" w:rsidR="002B3025" w:rsidRPr="003F3975" w:rsidRDefault="002B3025" w:rsidP="00551D66">
      <w:pPr>
        <w:pStyle w:val="Prrafodelista"/>
        <w:numPr>
          <w:ilvl w:val="0"/>
          <w:numId w:val="31"/>
        </w:numPr>
        <w:spacing w:after="0" w:line="240" w:lineRule="auto"/>
        <w:ind w:left="567" w:hanging="567"/>
        <w:jc w:val="both"/>
        <w:rPr>
          <w:rFonts w:ascii="Verdana" w:hAnsi="Verdana" w:cs="Arial"/>
          <w:bCs/>
          <w:sz w:val="20"/>
          <w:szCs w:val="20"/>
          <w:lang w:val="es-ES_tradnl"/>
        </w:rPr>
      </w:pPr>
      <w:r w:rsidRPr="003F3975">
        <w:rPr>
          <w:rFonts w:ascii="Verdana" w:hAnsi="Verdana" w:cs="Arial"/>
          <w:bCs/>
          <w:sz w:val="20"/>
          <w:szCs w:val="20"/>
          <w:lang w:val="es-ES_tradnl"/>
        </w:rPr>
        <w:t>Realizar nuevas inversiones con recursos del FIC.</w:t>
      </w:r>
    </w:p>
    <w:p w14:paraId="692E12FC" w14:textId="77777777" w:rsidR="002B3025" w:rsidRPr="002B3025" w:rsidRDefault="002B3025" w:rsidP="003F3975">
      <w:pPr>
        <w:pStyle w:val="Prrafodelista"/>
        <w:ind w:left="567" w:hanging="567"/>
        <w:jc w:val="both"/>
        <w:rPr>
          <w:rFonts w:ascii="Verdana" w:hAnsi="Verdana" w:cs="Arial"/>
          <w:bCs/>
          <w:sz w:val="20"/>
          <w:szCs w:val="20"/>
          <w:lang w:val="es-ES_tradnl"/>
        </w:rPr>
      </w:pPr>
    </w:p>
    <w:p w14:paraId="5293F509" w14:textId="77777777" w:rsidR="006F6AEE" w:rsidRDefault="002B3025" w:rsidP="00551D66">
      <w:pPr>
        <w:pStyle w:val="Prrafodelista"/>
        <w:numPr>
          <w:ilvl w:val="0"/>
          <w:numId w:val="31"/>
        </w:numPr>
        <w:spacing w:after="0" w:line="240" w:lineRule="auto"/>
        <w:ind w:left="567" w:hanging="567"/>
        <w:jc w:val="both"/>
        <w:rPr>
          <w:rFonts w:ascii="Verdana" w:hAnsi="Verdana" w:cs="Arial"/>
          <w:bCs/>
          <w:sz w:val="20"/>
          <w:szCs w:val="20"/>
          <w:lang w:val="es-ES_tradnl"/>
        </w:rPr>
      </w:pPr>
      <w:r w:rsidRPr="003F3975">
        <w:rPr>
          <w:rFonts w:ascii="Verdana" w:hAnsi="Verdana" w:cs="Arial"/>
          <w:bCs/>
          <w:sz w:val="20"/>
          <w:szCs w:val="20"/>
          <w:lang w:val="es-ES_tradnl"/>
        </w:rPr>
        <w:t>Realizar y/o renovar operaciones activas del mercado monetario con recursos del FIC.</w:t>
      </w:r>
    </w:p>
    <w:p w14:paraId="112C4904" w14:textId="77777777" w:rsidR="006F6AEE" w:rsidRPr="006F6AEE" w:rsidRDefault="006F6AEE" w:rsidP="006F6AEE">
      <w:pPr>
        <w:pStyle w:val="Prrafodelista"/>
        <w:rPr>
          <w:rFonts w:ascii="Verdana" w:hAnsi="Verdana" w:cs="Arial"/>
          <w:bCs/>
          <w:sz w:val="20"/>
          <w:szCs w:val="20"/>
          <w:lang w:val="es-ES_tradnl"/>
        </w:rPr>
      </w:pPr>
    </w:p>
    <w:p w14:paraId="66C4A57C" w14:textId="2F4A5B0E" w:rsidR="006F6AEE" w:rsidRPr="006F6AEE" w:rsidRDefault="002B3025" w:rsidP="00551D66">
      <w:pPr>
        <w:pStyle w:val="Prrafodelista"/>
        <w:numPr>
          <w:ilvl w:val="0"/>
          <w:numId w:val="31"/>
        </w:numPr>
        <w:spacing w:after="0" w:line="240" w:lineRule="auto"/>
        <w:ind w:left="567" w:hanging="567"/>
        <w:jc w:val="both"/>
        <w:rPr>
          <w:rFonts w:ascii="Verdana" w:hAnsi="Verdana" w:cs="Arial"/>
          <w:bCs/>
          <w:sz w:val="20"/>
          <w:szCs w:val="20"/>
          <w:lang w:val="es-ES_tradnl"/>
        </w:rPr>
      </w:pPr>
      <w:r w:rsidRPr="006F6AEE">
        <w:rPr>
          <w:rFonts w:ascii="Verdana" w:hAnsi="Verdana" w:cs="Arial"/>
          <w:bCs/>
          <w:sz w:val="20"/>
          <w:szCs w:val="20"/>
          <w:lang w:val="es-ES_tradnl"/>
        </w:rPr>
        <w:t>Debitar la comisión causada.</w:t>
      </w:r>
    </w:p>
    <w:p w14:paraId="1E39B786" w14:textId="77777777" w:rsidR="006F6AEE" w:rsidRDefault="006F6AEE" w:rsidP="006F6AEE">
      <w:pPr>
        <w:spacing w:after="0" w:line="240" w:lineRule="auto"/>
        <w:jc w:val="both"/>
        <w:rPr>
          <w:rFonts w:ascii="Verdana" w:hAnsi="Verdana"/>
          <w:sz w:val="20"/>
          <w:szCs w:val="20"/>
        </w:rPr>
      </w:pPr>
    </w:p>
    <w:p w14:paraId="16F29BC4" w14:textId="115B0526" w:rsidR="003F3975" w:rsidRPr="006F6AEE" w:rsidRDefault="003F3975" w:rsidP="006F6AEE">
      <w:pPr>
        <w:spacing w:after="0" w:line="240" w:lineRule="auto"/>
        <w:jc w:val="both"/>
        <w:rPr>
          <w:rFonts w:ascii="Verdana" w:hAnsi="Verdana"/>
          <w:sz w:val="20"/>
          <w:szCs w:val="20"/>
        </w:rPr>
      </w:pPr>
      <w:r w:rsidRPr="006F6AEE">
        <w:rPr>
          <w:rFonts w:ascii="Verdana" w:hAnsi="Verdana"/>
          <w:sz w:val="20"/>
          <w:szCs w:val="20"/>
        </w:rPr>
        <w:t>1.1.3.</w:t>
      </w:r>
      <w:r w:rsidR="00854FDC">
        <w:rPr>
          <w:rFonts w:ascii="Verdana" w:hAnsi="Verdana"/>
          <w:sz w:val="20"/>
          <w:szCs w:val="20"/>
        </w:rPr>
        <w:t>188</w:t>
      </w:r>
      <w:r w:rsidRPr="006F6AEE">
        <w:rPr>
          <w:rFonts w:ascii="Verdana" w:hAnsi="Verdana"/>
          <w:sz w:val="20"/>
          <w:szCs w:val="20"/>
        </w:rPr>
        <w:t>.</w:t>
      </w:r>
    </w:p>
    <w:p w14:paraId="1B33FEBF" w14:textId="58B45E3A" w:rsidR="002B3025" w:rsidRPr="002B3025" w:rsidRDefault="002B3025" w:rsidP="00B929BB">
      <w:pPr>
        <w:jc w:val="both"/>
        <w:rPr>
          <w:rFonts w:ascii="Verdana" w:hAnsi="Verdana" w:cs="Arial"/>
          <w:bCs/>
          <w:sz w:val="20"/>
          <w:szCs w:val="20"/>
          <w:lang w:val="es-ES_tradnl"/>
        </w:rPr>
      </w:pPr>
      <w:r w:rsidRPr="002B3025">
        <w:rPr>
          <w:rFonts w:ascii="Verdana" w:hAnsi="Verdana" w:cs="Arial"/>
          <w:bCs/>
          <w:sz w:val="20"/>
          <w:szCs w:val="20"/>
          <w:lang w:val="es-ES_tradnl"/>
        </w:rPr>
        <w:t xml:space="preserve">Adicionalmente si por tercera ocasión en un periodo de 30 días calendario se debe presentar un plan de ajuste para el respectivo FIC, y/o el administrador realiza la suspensión de redenciones de acuerdo </w:t>
      </w:r>
      <w:r w:rsidRPr="00C50CCD">
        <w:rPr>
          <w:rFonts w:ascii="Verdana" w:hAnsi="Verdana" w:cs="Arial"/>
          <w:bCs/>
          <w:sz w:val="20"/>
          <w:szCs w:val="20"/>
          <w:lang w:val="es-ES_tradnl"/>
        </w:rPr>
        <w:t>con lo establecido en el Artículo 3.1.1.7.3 del Decreto 2555 de 2010, la</w:t>
      </w:r>
      <w:r w:rsidRPr="00197504">
        <w:rPr>
          <w:rFonts w:ascii="Verdana" w:hAnsi="Verdana" w:cs="Arial"/>
          <w:bCs/>
          <w:sz w:val="20"/>
          <w:szCs w:val="20"/>
          <w:lang w:val="es-ES_tradnl"/>
        </w:rPr>
        <w:t xml:space="preserve"> sociedad</w:t>
      </w:r>
      <w:r w:rsidRPr="002B3025">
        <w:rPr>
          <w:rFonts w:ascii="Verdana" w:hAnsi="Verdana" w:cs="Arial"/>
          <w:bCs/>
          <w:sz w:val="20"/>
          <w:szCs w:val="20"/>
          <w:lang w:val="es-ES_tradnl"/>
        </w:rPr>
        <w:t xml:space="preserve"> administradora del FIC no podrá:</w:t>
      </w:r>
    </w:p>
    <w:p w14:paraId="5C3F21BF" w14:textId="2F6B61C7" w:rsidR="002B3025" w:rsidRPr="001C713D" w:rsidRDefault="002B3025" w:rsidP="00551D66">
      <w:pPr>
        <w:pStyle w:val="Prrafodelista"/>
        <w:numPr>
          <w:ilvl w:val="0"/>
          <w:numId w:val="32"/>
        </w:numPr>
        <w:spacing w:after="0" w:line="240" w:lineRule="auto"/>
        <w:ind w:left="567" w:hanging="567"/>
        <w:jc w:val="both"/>
        <w:rPr>
          <w:rFonts w:ascii="Verdana" w:hAnsi="Verdana" w:cs="Arial"/>
          <w:bCs/>
          <w:sz w:val="20"/>
          <w:szCs w:val="20"/>
          <w:lang w:val="es-ES_tradnl"/>
        </w:rPr>
      </w:pPr>
      <w:r w:rsidRPr="001C713D">
        <w:rPr>
          <w:rFonts w:ascii="Verdana" w:hAnsi="Verdana" w:cs="Arial"/>
          <w:bCs/>
          <w:sz w:val="20"/>
          <w:szCs w:val="20"/>
          <w:lang w:val="es-ES_tradnl"/>
        </w:rPr>
        <w:t xml:space="preserve">Realizar las </w:t>
      </w:r>
      <w:r w:rsidRPr="005508AD">
        <w:rPr>
          <w:rFonts w:ascii="Verdana" w:hAnsi="Verdana" w:cs="Arial"/>
          <w:bCs/>
          <w:sz w:val="20"/>
          <w:szCs w:val="20"/>
          <w:lang w:val="es-ES_tradnl"/>
        </w:rPr>
        <w:t xml:space="preserve">actividades enunciadas en los literales </w:t>
      </w:r>
      <w:r w:rsidR="005508AD">
        <w:rPr>
          <w:rFonts w:ascii="Verdana" w:hAnsi="Verdana" w:cs="Arial"/>
          <w:bCs/>
          <w:sz w:val="20"/>
          <w:szCs w:val="20"/>
          <w:lang w:val="es-ES_tradnl"/>
        </w:rPr>
        <w:t>(</w:t>
      </w:r>
      <w:r w:rsidRPr="005508AD">
        <w:rPr>
          <w:rFonts w:ascii="Verdana" w:hAnsi="Verdana" w:cs="Arial"/>
          <w:bCs/>
          <w:sz w:val="20"/>
          <w:szCs w:val="20"/>
          <w:lang w:val="es-ES_tradnl"/>
        </w:rPr>
        <w:t>a</w:t>
      </w:r>
      <w:r w:rsidR="005508AD">
        <w:rPr>
          <w:rFonts w:ascii="Verdana" w:hAnsi="Verdana" w:cs="Arial"/>
          <w:bCs/>
          <w:sz w:val="20"/>
          <w:szCs w:val="20"/>
          <w:lang w:val="es-ES_tradnl"/>
        </w:rPr>
        <w:t>), (</w:t>
      </w:r>
      <w:r w:rsidRPr="005508AD">
        <w:rPr>
          <w:rFonts w:ascii="Verdana" w:hAnsi="Verdana" w:cs="Arial"/>
          <w:bCs/>
          <w:sz w:val="20"/>
          <w:szCs w:val="20"/>
          <w:lang w:val="es-ES_tradnl"/>
        </w:rPr>
        <w:t>b</w:t>
      </w:r>
      <w:r w:rsidR="005508AD">
        <w:rPr>
          <w:rFonts w:ascii="Verdana" w:hAnsi="Verdana" w:cs="Arial"/>
          <w:bCs/>
          <w:sz w:val="20"/>
          <w:szCs w:val="20"/>
          <w:lang w:val="es-ES_tradnl"/>
        </w:rPr>
        <w:t>)</w:t>
      </w:r>
      <w:r w:rsidRPr="005508AD">
        <w:rPr>
          <w:rFonts w:ascii="Verdana" w:hAnsi="Verdana" w:cs="Arial"/>
          <w:bCs/>
          <w:sz w:val="20"/>
          <w:szCs w:val="20"/>
          <w:lang w:val="es-ES_tradnl"/>
        </w:rPr>
        <w:t xml:space="preserve"> y </w:t>
      </w:r>
      <w:r w:rsidR="005508AD">
        <w:rPr>
          <w:rFonts w:ascii="Verdana" w:hAnsi="Verdana" w:cs="Arial"/>
          <w:bCs/>
          <w:sz w:val="20"/>
          <w:szCs w:val="20"/>
          <w:lang w:val="es-ES_tradnl"/>
        </w:rPr>
        <w:t>(</w:t>
      </w:r>
      <w:r w:rsidRPr="005508AD">
        <w:rPr>
          <w:rFonts w:ascii="Verdana" w:hAnsi="Verdana" w:cs="Arial"/>
          <w:bCs/>
          <w:sz w:val="20"/>
          <w:szCs w:val="20"/>
          <w:lang w:val="es-ES_tradnl"/>
        </w:rPr>
        <w:t>c</w:t>
      </w:r>
      <w:r w:rsidR="005508AD">
        <w:rPr>
          <w:rFonts w:ascii="Verdana" w:hAnsi="Verdana" w:cs="Arial"/>
          <w:bCs/>
          <w:sz w:val="20"/>
          <w:szCs w:val="20"/>
          <w:lang w:val="es-ES_tradnl"/>
        </w:rPr>
        <w:t>)</w:t>
      </w:r>
      <w:r w:rsidRPr="005508AD">
        <w:rPr>
          <w:rFonts w:ascii="Verdana" w:hAnsi="Verdana" w:cs="Arial"/>
          <w:bCs/>
          <w:sz w:val="20"/>
          <w:szCs w:val="20"/>
          <w:lang w:val="es-ES_tradnl"/>
        </w:rPr>
        <w:t xml:space="preserve"> </w:t>
      </w:r>
      <w:r w:rsidR="001D4E8E" w:rsidRPr="005508AD">
        <w:rPr>
          <w:rFonts w:ascii="Verdana" w:hAnsi="Verdana" w:cs="Arial"/>
          <w:bCs/>
          <w:sz w:val="20"/>
          <w:szCs w:val="20"/>
          <w:lang w:val="es-ES_tradnl"/>
        </w:rPr>
        <w:t xml:space="preserve">del párrafo </w:t>
      </w:r>
      <w:r w:rsidR="001D4E8E">
        <w:rPr>
          <w:rFonts w:ascii="Verdana" w:hAnsi="Verdana" w:cs="Arial"/>
          <w:bCs/>
          <w:sz w:val="20"/>
          <w:szCs w:val="20"/>
          <w:lang w:val="es-ES_tradnl"/>
        </w:rPr>
        <w:t>1.1.3.</w:t>
      </w:r>
      <w:r w:rsidR="005508AD">
        <w:rPr>
          <w:rFonts w:ascii="Verdana" w:hAnsi="Verdana" w:cs="Arial"/>
          <w:bCs/>
          <w:sz w:val="20"/>
          <w:szCs w:val="20"/>
          <w:lang w:val="es-ES_tradnl"/>
        </w:rPr>
        <w:t>187</w:t>
      </w:r>
      <w:r w:rsidRPr="001C713D">
        <w:rPr>
          <w:rFonts w:ascii="Verdana" w:hAnsi="Verdana" w:cs="Arial"/>
          <w:bCs/>
          <w:sz w:val="20"/>
          <w:szCs w:val="20"/>
          <w:lang w:val="es-ES_tradnl"/>
        </w:rPr>
        <w:t>.</w:t>
      </w:r>
    </w:p>
    <w:p w14:paraId="7CFE9624" w14:textId="77777777" w:rsidR="002B3025" w:rsidRPr="002B3025" w:rsidRDefault="002B3025" w:rsidP="001C713D">
      <w:pPr>
        <w:pStyle w:val="Prrafodelista"/>
        <w:ind w:left="567" w:hanging="567"/>
        <w:jc w:val="both"/>
        <w:rPr>
          <w:rFonts w:ascii="Verdana" w:hAnsi="Verdana" w:cs="Arial"/>
          <w:bCs/>
          <w:sz w:val="20"/>
          <w:szCs w:val="20"/>
          <w:lang w:val="es-ES_tradnl"/>
        </w:rPr>
      </w:pPr>
    </w:p>
    <w:p w14:paraId="5FD7BE0E" w14:textId="77777777" w:rsidR="006F6AEE" w:rsidRDefault="002B3025" w:rsidP="00551D66">
      <w:pPr>
        <w:pStyle w:val="Prrafodelista"/>
        <w:numPr>
          <w:ilvl w:val="0"/>
          <w:numId w:val="32"/>
        </w:numPr>
        <w:spacing w:after="0" w:line="240" w:lineRule="auto"/>
        <w:ind w:left="567" w:hanging="567"/>
        <w:jc w:val="both"/>
        <w:rPr>
          <w:rFonts w:ascii="Verdana" w:hAnsi="Verdana" w:cs="Arial"/>
          <w:bCs/>
          <w:sz w:val="20"/>
          <w:szCs w:val="20"/>
          <w:lang w:val="es-ES_tradnl"/>
        </w:rPr>
      </w:pPr>
      <w:r w:rsidRPr="001C713D">
        <w:rPr>
          <w:rFonts w:ascii="Verdana" w:hAnsi="Verdana" w:cs="Arial"/>
          <w:bCs/>
          <w:sz w:val="20"/>
          <w:szCs w:val="20"/>
          <w:lang w:val="es-ES_tradnl"/>
        </w:rPr>
        <w:t>Aceptar nuevos adherentes en el FIC.</w:t>
      </w:r>
    </w:p>
    <w:p w14:paraId="3C3C664A" w14:textId="77777777" w:rsidR="006F6AEE" w:rsidRDefault="006F6AEE" w:rsidP="006F6AEE">
      <w:pPr>
        <w:spacing w:after="0" w:line="240" w:lineRule="auto"/>
        <w:jc w:val="both"/>
        <w:rPr>
          <w:rFonts w:ascii="Verdana" w:hAnsi="Verdana"/>
          <w:sz w:val="20"/>
          <w:szCs w:val="20"/>
        </w:rPr>
      </w:pPr>
    </w:p>
    <w:p w14:paraId="0EF95552" w14:textId="026E81E7" w:rsidR="001C713D" w:rsidRPr="006F6AEE" w:rsidRDefault="001C713D" w:rsidP="006F6AEE">
      <w:pPr>
        <w:spacing w:after="0" w:line="240" w:lineRule="auto"/>
        <w:jc w:val="both"/>
        <w:rPr>
          <w:rFonts w:ascii="Verdana" w:hAnsi="Verdana" w:cs="Arial"/>
          <w:bCs/>
          <w:sz w:val="20"/>
          <w:szCs w:val="20"/>
          <w:lang w:val="es-ES_tradnl"/>
        </w:rPr>
      </w:pPr>
      <w:r w:rsidRPr="006F6AEE">
        <w:rPr>
          <w:rFonts w:ascii="Verdana" w:hAnsi="Verdana"/>
          <w:sz w:val="20"/>
          <w:szCs w:val="20"/>
        </w:rPr>
        <w:t>1.1.3.</w:t>
      </w:r>
      <w:r w:rsidR="00854FDC">
        <w:rPr>
          <w:rFonts w:ascii="Verdana" w:hAnsi="Verdana"/>
          <w:sz w:val="20"/>
          <w:szCs w:val="20"/>
        </w:rPr>
        <w:t>189</w:t>
      </w:r>
      <w:r w:rsidRPr="006F6AEE">
        <w:rPr>
          <w:rFonts w:ascii="Verdana" w:hAnsi="Verdana"/>
          <w:sz w:val="20"/>
          <w:szCs w:val="20"/>
        </w:rPr>
        <w:t>.</w:t>
      </w:r>
    </w:p>
    <w:p w14:paraId="7F095BCC" w14:textId="3DFF2E33" w:rsidR="006F6AEE" w:rsidRPr="00C50CCD" w:rsidRDefault="002B3025" w:rsidP="00C50CCD">
      <w:pPr>
        <w:jc w:val="both"/>
        <w:rPr>
          <w:rFonts w:ascii="Verdana" w:hAnsi="Verdana" w:cs="Arial"/>
          <w:bCs/>
          <w:sz w:val="20"/>
          <w:szCs w:val="20"/>
          <w:lang w:val="es-ES_tradnl"/>
        </w:rPr>
      </w:pPr>
      <w:r w:rsidRPr="002B3025">
        <w:rPr>
          <w:rFonts w:ascii="Verdana" w:hAnsi="Verdana" w:cs="Arial"/>
          <w:bCs/>
          <w:sz w:val="20"/>
          <w:szCs w:val="20"/>
          <w:lang w:val="es-ES_tradnl"/>
        </w:rPr>
        <w:t>Sin perjuicio de las sanciones a que haya lugar, una vez la sociedad administradora haya corregido la exposición significativa al riesgo de liquidez, podrá realizar las actividades anteriormente restringidas y debitar las comisiones causadas.</w:t>
      </w:r>
    </w:p>
    <w:p w14:paraId="24541102" w14:textId="34109282" w:rsidR="00EA2951" w:rsidRPr="001C6CAB" w:rsidRDefault="00EA2951" w:rsidP="00EA2951">
      <w:pPr>
        <w:spacing w:after="0"/>
        <w:rPr>
          <w:rFonts w:ascii="Verdana" w:hAnsi="Verdana"/>
          <w:sz w:val="20"/>
          <w:szCs w:val="20"/>
        </w:rPr>
      </w:pPr>
      <w:r w:rsidRPr="001C6CAB">
        <w:rPr>
          <w:rFonts w:ascii="Verdana" w:hAnsi="Verdana"/>
          <w:sz w:val="20"/>
          <w:szCs w:val="20"/>
        </w:rPr>
        <w:t>1.1.3.</w:t>
      </w:r>
      <w:r w:rsidR="00854FDC">
        <w:rPr>
          <w:rFonts w:ascii="Verdana" w:hAnsi="Verdana"/>
          <w:sz w:val="20"/>
          <w:szCs w:val="20"/>
        </w:rPr>
        <w:t>190</w:t>
      </w:r>
      <w:r w:rsidRPr="001C6CAB">
        <w:rPr>
          <w:rFonts w:ascii="Verdana" w:hAnsi="Verdana"/>
          <w:sz w:val="20"/>
          <w:szCs w:val="20"/>
        </w:rPr>
        <w:t>.</w:t>
      </w:r>
    </w:p>
    <w:p w14:paraId="2B551620" w14:textId="553FB065" w:rsidR="00C50CCD" w:rsidRPr="00DF5598" w:rsidRDefault="002B3025" w:rsidP="00DF5598">
      <w:pPr>
        <w:jc w:val="both"/>
        <w:rPr>
          <w:rFonts w:ascii="Verdana" w:hAnsi="Verdana" w:cs="Arial"/>
          <w:bCs/>
          <w:sz w:val="20"/>
          <w:szCs w:val="20"/>
        </w:rPr>
      </w:pPr>
      <w:r w:rsidRPr="002B3025">
        <w:rPr>
          <w:rFonts w:ascii="Verdana" w:hAnsi="Verdana" w:cs="Arial"/>
          <w:bCs/>
          <w:sz w:val="20"/>
          <w:szCs w:val="20"/>
        </w:rPr>
        <w:t xml:space="preserve">Para efectos de lo anterior, se considera práctica insegura la realización de alguna de las actividades restringidas bajo los supuestos planteados en </w:t>
      </w:r>
      <w:r w:rsidR="00E571A1">
        <w:rPr>
          <w:rFonts w:ascii="Verdana" w:hAnsi="Verdana" w:cs="Arial"/>
          <w:bCs/>
          <w:sz w:val="20"/>
          <w:szCs w:val="20"/>
        </w:rPr>
        <w:t>los</w:t>
      </w:r>
      <w:r w:rsidR="007F30F5">
        <w:rPr>
          <w:rFonts w:ascii="Verdana" w:hAnsi="Verdana" w:cs="Arial"/>
          <w:bCs/>
          <w:sz w:val="20"/>
          <w:szCs w:val="20"/>
        </w:rPr>
        <w:t xml:space="preserve"> </w:t>
      </w:r>
      <w:r w:rsidR="00630EBD">
        <w:rPr>
          <w:rFonts w:ascii="Verdana" w:hAnsi="Verdana" w:cs="Arial"/>
          <w:bCs/>
          <w:sz w:val="20"/>
          <w:szCs w:val="20"/>
        </w:rPr>
        <w:t>párrafo</w:t>
      </w:r>
      <w:r w:rsidR="00E571A1">
        <w:rPr>
          <w:rFonts w:ascii="Verdana" w:hAnsi="Verdana" w:cs="Arial"/>
          <w:bCs/>
          <w:sz w:val="20"/>
          <w:szCs w:val="20"/>
        </w:rPr>
        <w:t>s</w:t>
      </w:r>
      <w:r w:rsidR="00630EBD">
        <w:rPr>
          <w:rFonts w:ascii="Verdana" w:hAnsi="Verdana" w:cs="Arial"/>
          <w:bCs/>
          <w:sz w:val="20"/>
          <w:szCs w:val="20"/>
        </w:rPr>
        <w:t xml:space="preserve"> 1.1.3.187</w:t>
      </w:r>
      <w:r w:rsidR="00E571A1">
        <w:rPr>
          <w:rFonts w:ascii="Verdana" w:hAnsi="Verdana" w:cs="Arial"/>
          <w:bCs/>
          <w:sz w:val="20"/>
          <w:szCs w:val="20"/>
        </w:rPr>
        <w:t xml:space="preserve"> y 1.1.3.188</w:t>
      </w:r>
      <w:r w:rsidRPr="002B3025">
        <w:rPr>
          <w:rFonts w:ascii="Verdana" w:hAnsi="Verdana" w:cs="Arial"/>
          <w:bCs/>
          <w:sz w:val="20"/>
          <w:szCs w:val="20"/>
        </w:rPr>
        <w:t>.</w:t>
      </w:r>
    </w:p>
    <w:p w14:paraId="5E7BEE6F" w14:textId="428CB6FE" w:rsidR="006F6AEE" w:rsidRDefault="002B3025" w:rsidP="006F6AEE">
      <w:pPr>
        <w:pStyle w:val="Normal9pt"/>
        <w:rPr>
          <w:rFonts w:ascii="Verdana" w:hAnsi="Verdana"/>
          <w:b/>
          <w:sz w:val="20"/>
          <w:szCs w:val="20"/>
          <w:lang w:val="es-ES_tradnl"/>
        </w:rPr>
      </w:pPr>
      <w:r w:rsidRPr="00EA2951">
        <w:rPr>
          <w:rFonts w:ascii="Verdana" w:hAnsi="Verdana"/>
          <w:b/>
          <w:sz w:val="20"/>
          <w:szCs w:val="20"/>
          <w:lang w:val="es-ES_tradnl"/>
        </w:rPr>
        <w:t>Modelos internos para no objeción de la SFC</w:t>
      </w:r>
    </w:p>
    <w:p w14:paraId="1BCFF7FB" w14:textId="77777777" w:rsidR="00C50CCD" w:rsidRDefault="00C50CCD" w:rsidP="006F6AEE">
      <w:pPr>
        <w:pStyle w:val="Normal9pt"/>
        <w:rPr>
          <w:rFonts w:ascii="Verdana" w:hAnsi="Verdana"/>
          <w:sz w:val="20"/>
          <w:szCs w:val="20"/>
        </w:rPr>
      </w:pPr>
    </w:p>
    <w:p w14:paraId="1A171FF7" w14:textId="667B1B37" w:rsidR="00EA2951" w:rsidRPr="006F6AEE" w:rsidRDefault="00EA2951" w:rsidP="006F6AEE">
      <w:pPr>
        <w:pStyle w:val="Normal9pt"/>
        <w:rPr>
          <w:rFonts w:ascii="Verdana" w:hAnsi="Verdana"/>
          <w:b/>
          <w:sz w:val="20"/>
          <w:szCs w:val="20"/>
          <w:lang w:val="es-ES_tradnl"/>
        </w:rPr>
      </w:pPr>
      <w:r w:rsidRPr="001C6CAB">
        <w:rPr>
          <w:rFonts w:ascii="Verdana" w:hAnsi="Verdana"/>
          <w:sz w:val="20"/>
          <w:szCs w:val="20"/>
        </w:rPr>
        <w:t>1.1.3.</w:t>
      </w:r>
      <w:r w:rsidR="00854FDC">
        <w:rPr>
          <w:rFonts w:ascii="Verdana" w:hAnsi="Verdana"/>
          <w:sz w:val="20"/>
          <w:szCs w:val="20"/>
        </w:rPr>
        <w:t>191</w:t>
      </w:r>
      <w:r w:rsidRPr="001C6CAB">
        <w:rPr>
          <w:rFonts w:ascii="Verdana" w:hAnsi="Verdana"/>
          <w:sz w:val="20"/>
          <w:szCs w:val="20"/>
        </w:rPr>
        <w:t>.</w:t>
      </w:r>
    </w:p>
    <w:p w14:paraId="2250C199" w14:textId="0A209C27" w:rsidR="002B3025" w:rsidRPr="002B3025" w:rsidRDefault="002B3025" w:rsidP="60169A51">
      <w:pPr>
        <w:tabs>
          <w:tab w:val="left" w:pos="709"/>
        </w:tabs>
        <w:jc w:val="both"/>
        <w:rPr>
          <w:rFonts w:ascii="Verdana" w:hAnsi="Verdana" w:cs="Arial"/>
          <w:sz w:val="20"/>
          <w:szCs w:val="20"/>
          <w:lang w:val="es-ES"/>
        </w:rPr>
      </w:pPr>
      <w:r w:rsidRPr="60169A51">
        <w:rPr>
          <w:rFonts w:ascii="Verdana" w:hAnsi="Verdana" w:cs="Arial"/>
          <w:sz w:val="20"/>
          <w:szCs w:val="20"/>
          <w:lang w:val="es-ES"/>
        </w:rPr>
        <w:t>La evaluación por parte de la SFC de los modelos internos se llevará a cabo en forma integral, considerando la consistencia con los elementos definidos en el SIAR, la capacidad predictiva del modelo, así como con los requisitos que se señalan a continuación. La SFC podrá considerar en cada caso en particular la pertinencia de eximir a la entidad del cumplimiento de algún(os) requerimiento(s) para el diseño de los modelos internos y presentación para no objeción.</w:t>
      </w:r>
    </w:p>
    <w:p w14:paraId="07E1B97F" w14:textId="243554BB" w:rsidR="00EA2951" w:rsidRPr="001C6CAB" w:rsidRDefault="00EA2951" w:rsidP="00EA2951">
      <w:pPr>
        <w:spacing w:after="0"/>
        <w:rPr>
          <w:rFonts w:ascii="Verdana" w:hAnsi="Verdana"/>
          <w:sz w:val="20"/>
          <w:szCs w:val="20"/>
        </w:rPr>
      </w:pPr>
      <w:r w:rsidRPr="001C6CAB">
        <w:rPr>
          <w:rFonts w:ascii="Verdana" w:hAnsi="Verdana"/>
          <w:sz w:val="20"/>
          <w:szCs w:val="20"/>
        </w:rPr>
        <w:t>1.1.3.</w:t>
      </w:r>
      <w:r w:rsidR="00854FDC">
        <w:rPr>
          <w:rFonts w:ascii="Verdana" w:hAnsi="Verdana"/>
          <w:sz w:val="20"/>
          <w:szCs w:val="20"/>
        </w:rPr>
        <w:t>192</w:t>
      </w:r>
      <w:r w:rsidRPr="001C6CAB">
        <w:rPr>
          <w:rFonts w:ascii="Verdana" w:hAnsi="Verdana"/>
          <w:sz w:val="20"/>
          <w:szCs w:val="20"/>
        </w:rPr>
        <w:t>.</w:t>
      </w:r>
    </w:p>
    <w:p w14:paraId="52F2D2C8" w14:textId="77777777" w:rsidR="002B3025" w:rsidRPr="002B3025" w:rsidRDefault="002B3025" w:rsidP="00B929BB">
      <w:pPr>
        <w:tabs>
          <w:tab w:val="left" w:pos="709"/>
        </w:tabs>
        <w:jc w:val="both"/>
        <w:rPr>
          <w:rFonts w:ascii="Verdana" w:hAnsi="Verdana" w:cs="Arial"/>
          <w:bCs/>
          <w:sz w:val="20"/>
          <w:szCs w:val="20"/>
          <w:lang w:val="es-ES_tradnl"/>
        </w:rPr>
      </w:pPr>
      <w:r w:rsidRPr="002B3025">
        <w:rPr>
          <w:rFonts w:ascii="Verdana" w:hAnsi="Verdana" w:cs="Arial"/>
          <w:bCs/>
          <w:sz w:val="20"/>
          <w:szCs w:val="20"/>
          <w:lang w:val="es-ES_tradnl"/>
        </w:rPr>
        <w:t>Para la presentación de los modelos internos para obtener el pronunciamiento de no objeción por parte de la SFC, la entidad debe adjuntar a la solicitud los siguientes documentos:</w:t>
      </w:r>
    </w:p>
    <w:p w14:paraId="5D7BBBD4" w14:textId="77777777" w:rsidR="006F6AEE" w:rsidRDefault="002B3025" w:rsidP="00551D66">
      <w:pPr>
        <w:pStyle w:val="Prrafodelista"/>
        <w:numPr>
          <w:ilvl w:val="0"/>
          <w:numId w:val="44"/>
        </w:numPr>
        <w:spacing w:after="0" w:line="240" w:lineRule="auto"/>
        <w:ind w:left="567" w:hanging="567"/>
        <w:jc w:val="both"/>
        <w:rPr>
          <w:rFonts w:ascii="Verdana" w:hAnsi="Verdana" w:cs="Arial"/>
          <w:bCs/>
          <w:sz w:val="20"/>
          <w:szCs w:val="20"/>
          <w:lang w:val="es-ES_tradnl"/>
        </w:rPr>
      </w:pPr>
      <w:r w:rsidRPr="006F6AEE">
        <w:rPr>
          <w:rFonts w:ascii="Verdana" w:hAnsi="Verdana" w:cs="Arial"/>
          <w:bCs/>
          <w:sz w:val="20"/>
          <w:szCs w:val="20"/>
          <w:lang w:val="es-ES_tradnl"/>
        </w:rPr>
        <w:lastRenderedPageBreak/>
        <w:t>Una descripción de la estructura teórica del modelo empleado para la medición de riesgos, de su base teórica, de los parámetros empleados y de la forma en que el modelo estima el Indicador de Riesgo de Liquidez de la entidad. El análisis debe ser prospectivo.</w:t>
      </w:r>
    </w:p>
    <w:p w14:paraId="616A356E" w14:textId="77777777" w:rsidR="006F6AEE" w:rsidRDefault="006F6AEE" w:rsidP="006F6AEE">
      <w:pPr>
        <w:pStyle w:val="Prrafodelista"/>
        <w:spacing w:after="0" w:line="240" w:lineRule="auto"/>
        <w:ind w:left="567"/>
        <w:jc w:val="both"/>
        <w:rPr>
          <w:rFonts w:ascii="Verdana" w:hAnsi="Verdana" w:cs="Arial"/>
          <w:bCs/>
          <w:sz w:val="20"/>
          <w:szCs w:val="20"/>
          <w:lang w:val="es-ES_tradnl"/>
        </w:rPr>
      </w:pPr>
    </w:p>
    <w:p w14:paraId="4DB0948B" w14:textId="77777777" w:rsidR="006F6AEE" w:rsidRDefault="002B3025" w:rsidP="00551D66">
      <w:pPr>
        <w:pStyle w:val="Prrafodelista"/>
        <w:numPr>
          <w:ilvl w:val="0"/>
          <w:numId w:val="44"/>
        </w:numPr>
        <w:spacing w:after="0" w:line="240" w:lineRule="auto"/>
        <w:ind w:left="567" w:hanging="567"/>
        <w:jc w:val="both"/>
        <w:rPr>
          <w:rFonts w:ascii="Verdana" w:hAnsi="Verdana" w:cs="Arial"/>
          <w:bCs/>
          <w:sz w:val="20"/>
          <w:szCs w:val="20"/>
          <w:lang w:val="es-ES_tradnl"/>
        </w:rPr>
      </w:pPr>
      <w:r w:rsidRPr="006F6AEE">
        <w:rPr>
          <w:rFonts w:ascii="Verdana" w:hAnsi="Verdana" w:cs="Arial"/>
          <w:bCs/>
          <w:sz w:val="20"/>
          <w:szCs w:val="20"/>
          <w:lang w:val="es-ES_tradnl"/>
        </w:rPr>
        <w:t>Acta de la JD, en la que conste la revisión y aprobación de dicho modelo.</w:t>
      </w:r>
    </w:p>
    <w:p w14:paraId="0A3F7B1B" w14:textId="77777777" w:rsidR="006F6AEE" w:rsidRPr="006F6AEE" w:rsidRDefault="006F6AEE" w:rsidP="006F6AEE">
      <w:pPr>
        <w:pStyle w:val="Prrafodelista"/>
        <w:rPr>
          <w:rFonts w:ascii="Verdana" w:hAnsi="Verdana" w:cs="Arial"/>
          <w:bCs/>
          <w:sz w:val="20"/>
          <w:szCs w:val="20"/>
          <w:lang w:val="es-ES_tradnl"/>
        </w:rPr>
      </w:pPr>
    </w:p>
    <w:p w14:paraId="7243808F" w14:textId="77777777" w:rsidR="006F6AEE" w:rsidRDefault="002B3025" w:rsidP="00551D66">
      <w:pPr>
        <w:pStyle w:val="Prrafodelista"/>
        <w:numPr>
          <w:ilvl w:val="0"/>
          <w:numId w:val="44"/>
        </w:numPr>
        <w:spacing w:after="0" w:line="240" w:lineRule="auto"/>
        <w:ind w:left="567" w:hanging="567"/>
        <w:jc w:val="both"/>
        <w:rPr>
          <w:rFonts w:ascii="Verdana" w:hAnsi="Verdana" w:cs="Arial"/>
          <w:bCs/>
          <w:sz w:val="20"/>
          <w:szCs w:val="20"/>
          <w:lang w:val="es-ES_tradnl"/>
        </w:rPr>
      </w:pPr>
      <w:r w:rsidRPr="006F6AEE">
        <w:rPr>
          <w:rFonts w:ascii="Verdana" w:hAnsi="Verdana" w:cs="Arial"/>
          <w:bCs/>
          <w:sz w:val="20"/>
          <w:szCs w:val="20"/>
          <w:lang w:val="es-ES_tradnl"/>
        </w:rPr>
        <w:t>Las series de datos de los indicadores de riesgo de liquidez estimados y de los realmente observados por la entidad.</w:t>
      </w:r>
    </w:p>
    <w:p w14:paraId="22A7D19B" w14:textId="77777777" w:rsidR="006F6AEE" w:rsidRPr="006F6AEE" w:rsidRDefault="006F6AEE" w:rsidP="006F6AEE">
      <w:pPr>
        <w:pStyle w:val="Prrafodelista"/>
        <w:rPr>
          <w:rFonts w:ascii="Verdana" w:hAnsi="Verdana" w:cs="Arial"/>
          <w:sz w:val="20"/>
          <w:szCs w:val="20"/>
          <w:lang w:val="es-ES"/>
        </w:rPr>
      </w:pPr>
    </w:p>
    <w:p w14:paraId="7CC66F2B" w14:textId="77777777" w:rsidR="006F6AEE" w:rsidRPr="006F6AEE" w:rsidRDefault="002B3025" w:rsidP="00551D66">
      <w:pPr>
        <w:pStyle w:val="Prrafodelista"/>
        <w:numPr>
          <w:ilvl w:val="0"/>
          <w:numId w:val="44"/>
        </w:numPr>
        <w:spacing w:after="0" w:line="240" w:lineRule="auto"/>
        <w:ind w:left="567" w:hanging="567"/>
        <w:jc w:val="both"/>
        <w:rPr>
          <w:rFonts w:ascii="Verdana" w:hAnsi="Verdana" w:cs="Arial"/>
          <w:bCs/>
          <w:sz w:val="20"/>
          <w:szCs w:val="20"/>
          <w:lang w:val="es-ES_tradnl"/>
        </w:rPr>
      </w:pPr>
      <w:r w:rsidRPr="006F6AEE">
        <w:rPr>
          <w:rFonts w:ascii="Verdana" w:hAnsi="Verdana" w:cs="Arial"/>
          <w:sz w:val="20"/>
          <w:szCs w:val="20"/>
          <w:lang w:val="es-ES"/>
        </w:rPr>
        <w:t>Los resultados de las pruebas de desempeño realizadas por la entidad durante los últimos 6 meses. En todo caso mientras el seguimiento al desempeño del modelo no cubra por lo menos ese lapso de tiempo, la entidad no puede utilizar el modelo como herramienta para la evaluación de la exposición al riesgo de liquidez.</w:t>
      </w:r>
    </w:p>
    <w:p w14:paraId="63A3B1DD" w14:textId="77777777" w:rsidR="006F6AEE" w:rsidRPr="006F6AEE" w:rsidRDefault="006F6AEE" w:rsidP="006F6AEE">
      <w:pPr>
        <w:pStyle w:val="Prrafodelista"/>
        <w:rPr>
          <w:rFonts w:ascii="Verdana" w:hAnsi="Verdana" w:cs="Arial"/>
          <w:bCs/>
          <w:sz w:val="20"/>
          <w:szCs w:val="20"/>
          <w:lang w:val="es-ES_tradnl"/>
        </w:rPr>
      </w:pPr>
    </w:p>
    <w:p w14:paraId="369C452A" w14:textId="77777777" w:rsidR="006F6AEE" w:rsidRDefault="002B3025" w:rsidP="00551D66">
      <w:pPr>
        <w:pStyle w:val="Prrafodelista"/>
        <w:numPr>
          <w:ilvl w:val="0"/>
          <w:numId w:val="44"/>
        </w:numPr>
        <w:spacing w:after="0" w:line="240" w:lineRule="auto"/>
        <w:ind w:left="567" w:hanging="567"/>
        <w:jc w:val="both"/>
        <w:rPr>
          <w:rFonts w:ascii="Verdana" w:hAnsi="Verdana" w:cs="Arial"/>
          <w:bCs/>
          <w:sz w:val="20"/>
          <w:szCs w:val="20"/>
          <w:lang w:val="es-ES_tradnl"/>
        </w:rPr>
      </w:pPr>
      <w:r w:rsidRPr="006F6AEE">
        <w:rPr>
          <w:rFonts w:ascii="Verdana" w:hAnsi="Verdana" w:cs="Arial"/>
          <w:bCs/>
          <w:sz w:val="20"/>
          <w:szCs w:val="20"/>
          <w:lang w:val="es-ES_tradnl"/>
        </w:rPr>
        <w:t>Los resultados de las pruebas de estrés.</w:t>
      </w:r>
    </w:p>
    <w:p w14:paraId="24162889" w14:textId="77777777" w:rsidR="006F6AEE" w:rsidRPr="006F6AEE" w:rsidRDefault="006F6AEE" w:rsidP="006F6AEE">
      <w:pPr>
        <w:pStyle w:val="Prrafodelista"/>
        <w:rPr>
          <w:rFonts w:ascii="Verdana" w:hAnsi="Verdana" w:cs="Arial"/>
          <w:sz w:val="20"/>
          <w:szCs w:val="20"/>
          <w:lang w:val="es-ES"/>
        </w:rPr>
      </w:pPr>
    </w:p>
    <w:p w14:paraId="626A1103" w14:textId="77777777" w:rsidR="006F6AEE" w:rsidRPr="006F6AEE" w:rsidRDefault="002B3025" w:rsidP="00551D66">
      <w:pPr>
        <w:pStyle w:val="Prrafodelista"/>
        <w:numPr>
          <w:ilvl w:val="0"/>
          <w:numId w:val="44"/>
        </w:numPr>
        <w:spacing w:after="0" w:line="240" w:lineRule="auto"/>
        <w:ind w:left="567" w:hanging="567"/>
        <w:jc w:val="both"/>
        <w:rPr>
          <w:rFonts w:ascii="Verdana" w:hAnsi="Verdana" w:cs="Arial"/>
          <w:bCs/>
          <w:sz w:val="20"/>
          <w:szCs w:val="20"/>
          <w:lang w:val="es-ES_tradnl"/>
        </w:rPr>
      </w:pPr>
      <w:r w:rsidRPr="006F6AEE">
        <w:rPr>
          <w:rFonts w:ascii="Verdana" w:hAnsi="Verdana" w:cs="Arial"/>
          <w:sz w:val="20"/>
          <w:szCs w:val="20"/>
          <w:lang w:val="es-ES"/>
        </w:rPr>
        <w:t>Manifestación explícita de la entidad de que, en caso de no objeción por parte de la SFC al modelo interno, éste debe formar parte integral de la metodología interna que emplee habitualmente la entidad para la evaluación, gestión, monitoreo y seguimiento de su riesgo de liquidez, al igual que para sus decisiones estratégicas en esta materia.</w:t>
      </w:r>
    </w:p>
    <w:p w14:paraId="1A1B8865" w14:textId="77777777" w:rsidR="006F6AEE" w:rsidRPr="006F6AEE" w:rsidRDefault="006F6AEE" w:rsidP="006F6AEE">
      <w:pPr>
        <w:pStyle w:val="Prrafodelista"/>
        <w:rPr>
          <w:rFonts w:ascii="Verdana" w:hAnsi="Verdana" w:cs="Arial"/>
          <w:sz w:val="20"/>
          <w:szCs w:val="20"/>
          <w:lang w:val="es-ES"/>
        </w:rPr>
      </w:pPr>
    </w:p>
    <w:p w14:paraId="10F640FB" w14:textId="77777777" w:rsidR="006F6AEE" w:rsidRPr="006F6AEE" w:rsidRDefault="002B3025" w:rsidP="00551D66">
      <w:pPr>
        <w:pStyle w:val="Prrafodelista"/>
        <w:numPr>
          <w:ilvl w:val="0"/>
          <w:numId w:val="44"/>
        </w:numPr>
        <w:spacing w:after="0" w:line="240" w:lineRule="auto"/>
        <w:ind w:left="567" w:hanging="567"/>
        <w:jc w:val="both"/>
        <w:rPr>
          <w:rFonts w:ascii="Verdana" w:hAnsi="Verdana" w:cs="Arial"/>
          <w:bCs/>
          <w:sz w:val="20"/>
          <w:szCs w:val="20"/>
          <w:lang w:val="es-ES_tradnl"/>
        </w:rPr>
      </w:pPr>
      <w:r w:rsidRPr="006F6AEE">
        <w:rPr>
          <w:rFonts w:ascii="Verdana" w:hAnsi="Verdana" w:cs="Arial"/>
          <w:sz w:val="20"/>
          <w:szCs w:val="20"/>
          <w:lang w:val="es-ES"/>
        </w:rPr>
        <w:t>Información acerca de las personas encargadas de la medición y control del riesgo y de la toma de decisiones en materia de liquidez y de su posición dentro de la organización, incluyendo su formación académica y su experiencia profesional.</w:t>
      </w:r>
    </w:p>
    <w:p w14:paraId="5227905C" w14:textId="77777777" w:rsidR="006F6AEE" w:rsidRPr="006F6AEE" w:rsidRDefault="006F6AEE" w:rsidP="006F6AEE">
      <w:pPr>
        <w:pStyle w:val="Prrafodelista"/>
        <w:rPr>
          <w:rFonts w:ascii="Verdana" w:hAnsi="Verdana" w:cs="Arial"/>
          <w:bCs/>
          <w:sz w:val="20"/>
          <w:szCs w:val="20"/>
          <w:lang w:val="es-ES_tradnl"/>
        </w:rPr>
      </w:pPr>
    </w:p>
    <w:p w14:paraId="4FE4C8DB" w14:textId="7B0BDBA5" w:rsidR="002B3025" w:rsidRPr="006F6AEE" w:rsidRDefault="002B3025" w:rsidP="00551D66">
      <w:pPr>
        <w:pStyle w:val="Prrafodelista"/>
        <w:numPr>
          <w:ilvl w:val="0"/>
          <w:numId w:val="44"/>
        </w:numPr>
        <w:spacing w:after="0" w:line="240" w:lineRule="auto"/>
        <w:ind w:left="567" w:hanging="567"/>
        <w:jc w:val="both"/>
        <w:rPr>
          <w:rFonts w:ascii="Verdana" w:hAnsi="Verdana" w:cs="Arial"/>
          <w:bCs/>
          <w:sz w:val="20"/>
          <w:szCs w:val="20"/>
          <w:lang w:val="es-ES_tradnl"/>
        </w:rPr>
      </w:pPr>
      <w:r w:rsidRPr="006F6AEE">
        <w:rPr>
          <w:rFonts w:ascii="Verdana" w:hAnsi="Verdana" w:cs="Arial"/>
          <w:bCs/>
          <w:sz w:val="20"/>
          <w:szCs w:val="20"/>
          <w:lang w:val="es-ES_tradnl"/>
        </w:rPr>
        <w:t>Una descripción detallada de la estructura de límites en materia de liquidez aprobada por la entidad, entre los que se deben contemplar:</w:t>
      </w:r>
    </w:p>
    <w:p w14:paraId="635556F0" w14:textId="77777777" w:rsidR="0066414D" w:rsidRDefault="0066414D" w:rsidP="0066414D">
      <w:pPr>
        <w:pStyle w:val="Prrafodelista"/>
        <w:tabs>
          <w:tab w:val="left" w:pos="567"/>
        </w:tabs>
        <w:spacing w:after="0" w:line="240" w:lineRule="auto"/>
        <w:ind w:left="567"/>
        <w:jc w:val="both"/>
        <w:rPr>
          <w:rFonts w:ascii="Verdana" w:hAnsi="Verdana" w:cs="Arial"/>
          <w:bCs/>
          <w:sz w:val="20"/>
          <w:szCs w:val="20"/>
          <w:lang w:val="es-ES_tradnl"/>
        </w:rPr>
      </w:pPr>
    </w:p>
    <w:p w14:paraId="329E497D" w14:textId="77777777" w:rsidR="006F6AEE" w:rsidRDefault="002B3025" w:rsidP="00551D66">
      <w:pPr>
        <w:pStyle w:val="Prrafodelista"/>
        <w:numPr>
          <w:ilvl w:val="0"/>
          <w:numId w:val="45"/>
        </w:numPr>
        <w:tabs>
          <w:tab w:val="left" w:pos="567"/>
        </w:tabs>
        <w:spacing w:after="0" w:line="240" w:lineRule="auto"/>
        <w:ind w:left="1134" w:hanging="567"/>
        <w:jc w:val="both"/>
        <w:rPr>
          <w:rFonts w:ascii="Verdana" w:hAnsi="Verdana" w:cs="Arial"/>
          <w:bCs/>
          <w:sz w:val="20"/>
          <w:szCs w:val="20"/>
          <w:lang w:val="es-ES_tradnl"/>
        </w:rPr>
      </w:pPr>
      <w:r w:rsidRPr="006F6AEE">
        <w:rPr>
          <w:rFonts w:ascii="Verdana" w:hAnsi="Verdana" w:cs="Arial"/>
          <w:bCs/>
          <w:sz w:val="20"/>
          <w:szCs w:val="20"/>
          <w:lang w:val="es-ES_tradnl"/>
        </w:rPr>
        <w:t>Límites para el descalce entre posiciones activas y pasivas en diferentes horizontes de tiempo.</w:t>
      </w:r>
    </w:p>
    <w:p w14:paraId="32872CB7" w14:textId="77777777" w:rsidR="006F6AEE" w:rsidRDefault="006F6AEE" w:rsidP="006F6AEE">
      <w:pPr>
        <w:pStyle w:val="Prrafodelista"/>
        <w:tabs>
          <w:tab w:val="left" w:pos="567"/>
        </w:tabs>
        <w:spacing w:after="0" w:line="240" w:lineRule="auto"/>
        <w:ind w:left="1134"/>
        <w:jc w:val="both"/>
        <w:rPr>
          <w:rFonts w:ascii="Verdana" w:hAnsi="Verdana" w:cs="Arial"/>
          <w:bCs/>
          <w:sz w:val="20"/>
          <w:szCs w:val="20"/>
          <w:lang w:val="es-ES_tradnl"/>
        </w:rPr>
      </w:pPr>
    </w:p>
    <w:p w14:paraId="456F9B97" w14:textId="59B94D63" w:rsidR="002B3025" w:rsidRDefault="002B3025" w:rsidP="00551D66">
      <w:pPr>
        <w:pStyle w:val="Prrafodelista"/>
        <w:numPr>
          <w:ilvl w:val="0"/>
          <w:numId w:val="45"/>
        </w:numPr>
        <w:tabs>
          <w:tab w:val="left" w:pos="567"/>
        </w:tabs>
        <w:spacing w:after="0" w:line="240" w:lineRule="auto"/>
        <w:ind w:left="1134" w:hanging="567"/>
        <w:jc w:val="both"/>
        <w:rPr>
          <w:rFonts w:ascii="Verdana" w:hAnsi="Verdana" w:cs="Arial"/>
          <w:bCs/>
          <w:sz w:val="20"/>
          <w:szCs w:val="20"/>
          <w:lang w:val="es-ES_tradnl"/>
        </w:rPr>
      </w:pPr>
      <w:r w:rsidRPr="006F6AEE">
        <w:rPr>
          <w:rFonts w:ascii="Verdana" w:hAnsi="Verdana" w:cs="Arial"/>
          <w:bCs/>
          <w:sz w:val="20"/>
          <w:szCs w:val="20"/>
          <w:lang w:val="es-ES_tradnl"/>
        </w:rPr>
        <w:t>Límites de concentración por emisor, plazo de captación, contraparte, sector económico, madurez, tipo de producto y por tipo de moneda, legal y extranjera, entre otros.</w:t>
      </w:r>
    </w:p>
    <w:p w14:paraId="44738E08" w14:textId="77777777" w:rsidR="006F6AEE" w:rsidRPr="006F6AEE" w:rsidRDefault="006F6AEE" w:rsidP="006F6AEE">
      <w:pPr>
        <w:tabs>
          <w:tab w:val="left" w:pos="567"/>
        </w:tabs>
        <w:spacing w:after="0" w:line="240" w:lineRule="auto"/>
        <w:jc w:val="both"/>
        <w:rPr>
          <w:rFonts w:ascii="Verdana" w:hAnsi="Verdana" w:cs="Arial"/>
          <w:bCs/>
          <w:sz w:val="20"/>
          <w:szCs w:val="20"/>
          <w:lang w:val="es-ES_tradnl"/>
        </w:rPr>
      </w:pPr>
    </w:p>
    <w:p w14:paraId="3FE807BF" w14:textId="1679B6CF" w:rsidR="0066414D" w:rsidRPr="001C6CAB" w:rsidRDefault="0066414D" w:rsidP="0066414D">
      <w:pPr>
        <w:spacing w:after="0"/>
        <w:rPr>
          <w:rFonts w:ascii="Verdana" w:hAnsi="Verdana"/>
          <w:sz w:val="20"/>
          <w:szCs w:val="20"/>
        </w:rPr>
      </w:pPr>
      <w:r w:rsidRPr="001C6CAB">
        <w:rPr>
          <w:rFonts w:ascii="Verdana" w:hAnsi="Verdana"/>
          <w:sz w:val="20"/>
          <w:szCs w:val="20"/>
        </w:rPr>
        <w:t>1.1.3.</w:t>
      </w:r>
      <w:r w:rsidR="00854FDC">
        <w:rPr>
          <w:rFonts w:ascii="Verdana" w:hAnsi="Verdana"/>
          <w:sz w:val="20"/>
          <w:szCs w:val="20"/>
        </w:rPr>
        <w:t>193</w:t>
      </w:r>
      <w:r w:rsidR="004868FF">
        <w:rPr>
          <w:rFonts w:ascii="Verdana" w:hAnsi="Verdana"/>
          <w:sz w:val="20"/>
          <w:szCs w:val="20"/>
        </w:rPr>
        <w:t>.</w:t>
      </w:r>
    </w:p>
    <w:p w14:paraId="65B0D84E" w14:textId="5630AF4C" w:rsidR="002B3025" w:rsidRDefault="002B3025" w:rsidP="61A804E2">
      <w:pPr>
        <w:tabs>
          <w:tab w:val="left" w:pos="709"/>
        </w:tabs>
        <w:jc w:val="both"/>
        <w:rPr>
          <w:rFonts w:ascii="Verdana" w:hAnsi="Verdana" w:cs="Arial"/>
          <w:sz w:val="20"/>
          <w:szCs w:val="20"/>
          <w:lang w:val="es-ES"/>
        </w:rPr>
      </w:pPr>
      <w:r w:rsidRPr="61A804E2">
        <w:rPr>
          <w:rFonts w:ascii="Verdana" w:hAnsi="Verdana" w:cs="Arial"/>
          <w:sz w:val="20"/>
          <w:szCs w:val="20"/>
          <w:lang w:val="es-ES"/>
        </w:rPr>
        <w:t xml:space="preserve">En caso de no ser posible reportar la información mencionada en </w:t>
      </w:r>
      <w:r w:rsidR="00C50CCD" w:rsidRPr="61A804E2">
        <w:rPr>
          <w:rFonts w:ascii="Verdana" w:hAnsi="Verdana" w:cs="Arial"/>
          <w:sz w:val="20"/>
          <w:szCs w:val="20"/>
          <w:lang w:val="es-ES"/>
        </w:rPr>
        <w:t>el literal (d) del párrafo 1.1.3.192.</w:t>
      </w:r>
      <w:r w:rsidRPr="61A804E2">
        <w:rPr>
          <w:rFonts w:ascii="Verdana" w:hAnsi="Verdana" w:cs="Arial"/>
          <w:sz w:val="20"/>
          <w:szCs w:val="20"/>
          <w:lang w:val="es-ES"/>
        </w:rPr>
        <w:t xml:space="preserve"> o cuando la SFC lo considere necesario, se efectuará un seguimiento a las pruebas de desempeño por un período de 6 meses, durante el cual el modelo no podrá ser utilizado como herramienta para la evaluación de la exposición al riesgo de liquidez ni para el reporte al ente supervisor. </w:t>
      </w:r>
    </w:p>
    <w:p w14:paraId="6CCC40E5" w14:textId="2072A537" w:rsidR="00162757" w:rsidRPr="001C6CAB" w:rsidRDefault="00162757" w:rsidP="00162757">
      <w:pPr>
        <w:spacing w:after="0"/>
        <w:rPr>
          <w:rFonts w:ascii="Verdana" w:hAnsi="Verdana"/>
          <w:sz w:val="20"/>
          <w:szCs w:val="20"/>
        </w:rPr>
      </w:pPr>
      <w:r w:rsidRPr="001C6CAB">
        <w:rPr>
          <w:rFonts w:ascii="Verdana" w:hAnsi="Verdana"/>
          <w:sz w:val="20"/>
          <w:szCs w:val="20"/>
        </w:rPr>
        <w:t>1.1.3.</w:t>
      </w:r>
      <w:r w:rsidR="00854FDC">
        <w:rPr>
          <w:rFonts w:ascii="Verdana" w:hAnsi="Verdana"/>
          <w:sz w:val="20"/>
          <w:szCs w:val="20"/>
        </w:rPr>
        <w:t>194</w:t>
      </w:r>
      <w:r w:rsidRPr="001C6CAB">
        <w:rPr>
          <w:rFonts w:ascii="Verdana" w:hAnsi="Verdana"/>
          <w:sz w:val="20"/>
          <w:szCs w:val="20"/>
        </w:rPr>
        <w:t>.</w:t>
      </w:r>
    </w:p>
    <w:p w14:paraId="72FCE390" w14:textId="3C43C7FB" w:rsidR="00162757" w:rsidRDefault="002B3025" w:rsidP="006F6AEE">
      <w:pPr>
        <w:jc w:val="both"/>
        <w:rPr>
          <w:rFonts w:ascii="Verdana" w:hAnsi="Verdana" w:cs="Arial"/>
          <w:sz w:val="20"/>
          <w:szCs w:val="20"/>
          <w:lang w:val="es-ES"/>
        </w:rPr>
      </w:pPr>
      <w:r w:rsidRPr="60169A51">
        <w:rPr>
          <w:rFonts w:ascii="Verdana" w:hAnsi="Verdana" w:cs="Arial"/>
          <w:sz w:val="20"/>
          <w:szCs w:val="20"/>
          <w:lang w:val="es-ES"/>
        </w:rPr>
        <w:t>Para el caso de nuevos FIC abiertos con pacto de permanencia y/o FIC cerrados, en el momento de su constitución o con el envío del reglamento a la SFC para la autorización de su constitución, deben adjuntar toda la documentación de la gestión del riesgo de liquidez (incluyendo la forma de medición inicial) a implementar durante los 6 primeros meses de funcionamiento, aprobada por la JD de la sociedad administradora. Una vez transcurrido este lapso, y contando 6 meses más, es decir máximo 1 año después de su constitución, deben enviar a la SFC, aprobado por la JD de la sociedad administradora o quien haga sus veces, el modelo interno definitivo (parámetros, supuestos, construcción, funcionamiento del modelo, pruebas de desempeño y de tensión) y, en general, toda la documentación de la gestión del riesgo de liquidez con los ajustes y modificaciones realizadas.</w:t>
      </w:r>
    </w:p>
    <w:p w14:paraId="385B5D6B" w14:textId="1F37D252" w:rsidR="00162757" w:rsidRPr="001C6CAB" w:rsidRDefault="00162757" w:rsidP="00162757">
      <w:pPr>
        <w:spacing w:after="0"/>
        <w:rPr>
          <w:rFonts w:ascii="Verdana" w:hAnsi="Verdana"/>
          <w:sz w:val="20"/>
          <w:szCs w:val="20"/>
        </w:rPr>
      </w:pPr>
      <w:r w:rsidRPr="001C6CAB">
        <w:rPr>
          <w:rFonts w:ascii="Verdana" w:hAnsi="Verdana"/>
          <w:sz w:val="20"/>
          <w:szCs w:val="20"/>
        </w:rPr>
        <w:t>1.1.3.</w:t>
      </w:r>
      <w:r w:rsidR="00854FDC">
        <w:rPr>
          <w:rFonts w:ascii="Verdana" w:hAnsi="Verdana"/>
          <w:sz w:val="20"/>
          <w:szCs w:val="20"/>
        </w:rPr>
        <w:t>195</w:t>
      </w:r>
      <w:r w:rsidRPr="001C6CAB">
        <w:rPr>
          <w:rFonts w:ascii="Verdana" w:hAnsi="Verdana"/>
          <w:sz w:val="20"/>
          <w:szCs w:val="20"/>
        </w:rPr>
        <w:t>.</w:t>
      </w:r>
    </w:p>
    <w:p w14:paraId="45065D8D" w14:textId="4F152781" w:rsidR="002B3025" w:rsidRPr="006F6AEE" w:rsidRDefault="002B3025" w:rsidP="00B929BB">
      <w:pPr>
        <w:tabs>
          <w:tab w:val="left" w:pos="709"/>
        </w:tabs>
        <w:jc w:val="both"/>
        <w:rPr>
          <w:rFonts w:ascii="Verdana" w:hAnsi="Verdana" w:cs="Arial"/>
          <w:sz w:val="20"/>
          <w:szCs w:val="20"/>
          <w:lang w:val="es-ES"/>
        </w:rPr>
      </w:pPr>
      <w:r w:rsidRPr="60169A51">
        <w:rPr>
          <w:rFonts w:ascii="Verdana" w:hAnsi="Verdana" w:cs="Arial"/>
          <w:sz w:val="20"/>
          <w:szCs w:val="20"/>
          <w:lang w:val="es-ES"/>
        </w:rPr>
        <w:t xml:space="preserve">Las SF y las entidades que administren fondos o patrimonios autónomos distintos a los de seguridad social, al momento de crear un nuevo fondo o patrimonio autónomo, se acogen a la misma regla de los FIC abiertos con pacto de permanencia y/o FIC cerrados, entendiendo por esto que deben enviar la documentación referente a la gestión del </w:t>
      </w:r>
      <w:r w:rsidRPr="60169A51">
        <w:rPr>
          <w:rFonts w:ascii="Verdana" w:hAnsi="Verdana" w:cs="Arial"/>
          <w:sz w:val="20"/>
          <w:szCs w:val="20"/>
          <w:lang w:val="es-ES"/>
        </w:rPr>
        <w:lastRenderedPageBreak/>
        <w:t>riesgo de liquidez al momento de constitución y cumplido 1 año de existencia del fondo o patrimonio autónomo.</w:t>
      </w:r>
    </w:p>
    <w:p w14:paraId="479F5F03" w14:textId="367A2F86" w:rsidR="002B3025" w:rsidRDefault="002B3025" w:rsidP="006F6AEE">
      <w:pPr>
        <w:pStyle w:val="Normal9pt"/>
        <w:rPr>
          <w:rFonts w:ascii="Verdana" w:hAnsi="Verdana"/>
          <w:b/>
          <w:sz w:val="20"/>
          <w:szCs w:val="20"/>
          <w:lang w:val="es-ES_tradnl"/>
        </w:rPr>
      </w:pPr>
      <w:r w:rsidRPr="00B5183C">
        <w:rPr>
          <w:rFonts w:ascii="Verdana" w:hAnsi="Verdana"/>
          <w:b/>
          <w:sz w:val="20"/>
          <w:szCs w:val="20"/>
          <w:lang w:val="es-ES_tradnl"/>
        </w:rPr>
        <w:t>Disposiciones de la SFC sobre el modelo interno</w:t>
      </w:r>
    </w:p>
    <w:p w14:paraId="60F9ABEF" w14:textId="77777777" w:rsidR="006F6AEE" w:rsidRPr="006F6AEE" w:rsidRDefault="006F6AEE" w:rsidP="006F6AEE">
      <w:pPr>
        <w:pStyle w:val="Normal9pt"/>
        <w:rPr>
          <w:rFonts w:ascii="Verdana" w:hAnsi="Verdana"/>
          <w:b/>
          <w:sz w:val="20"/>
          <w:szCs w:val="20"/>
          <w:lang w:val="es-ES_tradnl"/>
        </w:rPr>
      </w:pPr>
    </w:p>
    <w:p w14:paraId="53B700AE" w14:textId="05B8F716" w:rsidR="00B5183C" w:rsidRPr="001C6CAB" w:rsidRDefault="00B5183C" w:rsidP="00B5183C">
      <w:pPr>
        <w:spacing w:after="0"/>
        <w:rPr>
          <w:rFonts w:ascii="Verdana" w:hAnsi="Verdana"/>
          <w:sz w:val="20"/>
          <w:szCs w:val="20"/>
        </w:rPr>
      </w:pPr>
      <w:r w:rsidRPr="001C6CAB">
        <w:rPr>
          <w:rFonts w:ascii="Verdana" w:hAnsi="Verdana"/>
          <w:sz w:val="20"/>
          <w:szCs w:val="20"/>
        </w:rPr>
        <w:t>1.1.3.</w:t>
      </w:r>
      <w:r w:rsidR="00854FDC">
        <w:rPr>
          <w:rFonts w:ascii="Verdana" w:hAnsi="Verdana"/>
          <w:sz w:val="20"/>
          <w:szCs w:val="20"/>
        </w:rPr>
        <w:t>196</w:t>
      </w:r>
      <w:r w:rsidRPr="001C6CAB">
        <w:rPr>
          <w:rFonts w:ascii="Verdana" w:hAnsi="Verdana"/>
          <w:sz w:val="20"/>
          <w:szCs w:val="20"/>
        </w:rPr>
        <w:t>.</w:t>
      </w:r>
    </w:p>
    <w:p w14:paraId="480CD7F2" w14:textId="77777777" w:rsidR="002B3025" w:rsidRPr="002B3025" w:rsidRDefault="002B3025" w:rsidP="00B929BB">
      <w:pPr>
        <w:tabs>
          <w:tab w:val="left" w:pos="709"/>
        </w:tabs>
        <w:jc w:val="both"/>
        <w:rPr>
          <w:rFonts w:ascii="Verdana" w:hAnsi="Verdana" w:cs="Arial"/>
          <w:sz w:val="20"/>
          <w:szCs w:val="20"/>
          <w:lang w:val="es-ES"/>
        </w:rPr>
      </w:pPr>
      <w:r w:rsidRPr="163C8172">
        <w:rPr>
          <w:rFonts w:ascii="Verdana" w:hAnsi="Verdana" w:cs="Arial"/>
          <w:sz w:val="20"/>
          <w:szCs w:val="20"/>
          <w:lang w:val="es-ES"/>
        </w:rPr>
        <w:t>Una vez obtenido el pronunciamiento de no objeción de un modelo interno de medición del riesgo de liquidez por parte de la SFC, éste sólo podrá ser utilizado por la entidad solicitante.</w:t>
      </w:r>
    </w:p>
    <w:p w14:paraId="1E03E2B3" w14:textId="4D17BD11" w:rsidR="00B5183C" w:rsidRPr="001C6CAB" w:rsidRDefault="00B5183C" w:rsidP="00B5183C">
      <w:pPr>
        <w:spacing w:after="0"/>
        <w:rPr>
          <w:rFonts w:ascii="Verdana" w:hAnsi="Verdana"/>
          <w:sz w:val="20"/>
          <w:szCs w:val="20"/>
        </w:rPr>
      </w:pPr>
      <w:r w:rsidRPr="001C6CAB">
        <w:rPr>
          <w:rFonts w:ascii="Verdana" w:hAnsi="Verdana"/>
          <w:sz w:val="20"/>
          <w:szCs w:val="20"/>
        </w:rPr>
        <w:t>1.1.3.</w:t>
      </w:r>
      <w:r w:rsidR="00854FDC">
        <w:rPr>
          <w:rFonts w:ascii="Verdana" w:hAnsi="Verdana"/>
          <w:sz w:val="20"/>
          <w:szCs w:val="20"/>
        </w:rPr>
        <w:t>197</w:t>
      </w:r>
      <w:r w:rsidRPr="001C6CAB">
        <w:rPr>
          <w:rFonts w:ascii="Verdana" w:hAnsi="Verdana"/>
          <w:sz w:val="20"/>
          <w:szCs w:val="20"/>
        </w:rPr>
        <w:t>.</w:t>
      </w:r>
    </w:p>
    <w:p w14:paraId="3D66C70B" w14:textId="77777777" w:rsidR="002B3025" w:rsidRPr="002B3025" w:rsidRDefault="002B3025" w:rsidP="00B929BB">
      <w:pPr>
        <w:tabs>
          <w:tab w:val="left" w:pos="709"/>
        </w:tabs>
        <w:jc w:val="both"/>
        <w:rPr>
          <w:rFonts w:ascii="Verdana" w:hAnsi="Verdana" w:cs="Arial"/>
          <w:bCs/>
          <w:sz w:val="20"/>
          <w:szCs w:val="20"/>
          <w:lang w:val="es-ES_tradnl"/>
        </w:rPr>
      </w:pPr>
      <w:r w:rsidRPr="002B3025">
        <w:rPr>
          <w:rFonts w:ascii="Verdana" w:hAnsi="Verdana" w:cs="Arial"/>
          <w:bCs/>
          <w:sz w:val="20"/>
          <w:szCs w:val="20"/>
          <w:lang w:val="es-ES_tradnl"/>
        </w:rPr>
        <w:t>La SFC puede requerir a la entidad que esté aplicando un modelo interno como herramienta de gestión del riesgo de liquidez, para que utilice en adelante el modelo estándar, según corresponda, con los ajustes o modificaciones que determine el ente supervisor para aquellas entidades a las que no les aplique un modelo estándar, en los siguientes casos:</w:t>
      </w:r>
    </w:p>
    <w:p w14:paraId="246CD67D" w14:textId="3FC62C1A" w:rsidR="002B3025" w:rsidRDefault="002B3025" w:rsidP="00551D66">
      <w:pPr>
        <w:pStyle w:val="Prrafodelista"/>
        <w:numPr>
          <w:ilvl w:val="0"/>
          <w:numId w:val="33"/>
        </w:numPr>
        <w:tabs>
          <w:tab w:val="left" w:pos="567"/>
        </w:tabs>
        <w:spacing w:after="0" w:line="240" w:lineRule="auto"/>
        <w:ind w:left="567" w:hanging="567"/>
        <w:jc w:val="both"/>
        <w:rPr>
          <w:rFonts w:ascii="Verdana" w:hAnsi="Verdana" w:cs="Arial"/>
          <w:bCs/>
          <w:sz w:val="20"/>
          <w:szCs w:val="20"/>
          <w:lang w:val="es-ES_tradnl"/>
        </w:rPr>
      </w:pPr>
      <w:r w:rsidRPr="00B5183C">
        <w:rPr>
          <w:rFonts w:ascii="Verdana" w:hAnsi="Verdana" w:cs="Arial"/>
          <w:bCs/>
          <w:sz w:val="20"/>
          <w:szCs w:val="20"/>
          <w:lang w:val="es-ES_tradnl"/>
        </w:rPr>
        <w:t xml:space="preserve">Cuando el modelo interno </w:t>
      </w:r>
      <w:r w:rsidR="00450BE9">
        <w:rPr>
          <w:rFonts w:ascii="Verdana" w:hAnsi="Verdana" w:cs="Arial"/>
          <w:bCs/>
          <w:sz w:val="20"/>
          <w:szCs w:val="20"/>
          <w:lang w:val="es-ES_tradnl"/>
        </w:rPr>
        <w:t xml:space="preserve">de riesgo de liquidez </w:t>
      </w:r>
      <w:r w:rsidRPr="00B5183C">
        <w:rPr>
          <w:rFonts w:ascii="Verdana" w:hAnsi="Verdana" w:cs="Arial"/>
          <w:bCs/>
          <w:sz w:val="20"/>
          <w:szCs w:val="20"/>
          <w:lang w:val="es-ES_tradnl"/>
        </w:rPr>
        <w:t xml:space="preserve">no cumpla con las condiciones estipuladas en </w:t>
      </w:r>
      <w:r w:rsidR="006D0509">
        <w:rPr>
          <w:rFonts w:ascii="Verdana" w:hAnsi="Verdana" w:cs="Arial"/>
          <w:bCs/>
          <w:sz w:val="20"/>
          <w:szCs w:val="20"/>
          <w:lang w:val="es-ES_tradnl"/>
        </w:rPr>
        <w:t>la presente sección</w:t>
      </w:r>
      <w:r w:rsidRPr="00B5183C">
        <w:rPr>
          <w:rFonts w:ascii="Verdana" w:hAnsi="Verdana" w:cs="Arial"/>
          <w:bCs/>
          <w:sz w:val="20"/>
          <w:szCs w:val="20"/>
          <w:lang w:val="es-ES_tradnl"/>
        </w:rPr>
        <w:t>.</w:t>
      </w:r>
    </w:p>
    <w:p w14:paraId="46D7D2FA" w14:textId="77777777" w:rsidR="00B5183C" w:rsidRPr="00B5183C" w:rsidRDefault="00B5183C" w:rsidP="00B5183C">
      <w:pPr>
        <w:pStyle w:val="Prrafodelista"/>
        <w:tabs>
          <w:tab w:val="left" w:pos="567"/>
        </w:tabs>
        <w:spacing w:after="0" w:line="240" w:lineRule="auto"/>
        <w:ind w:left="567"/>
        <w:jc w:val="both"/>
        <w:rPr>
          <w:rFonts w:ascii="Verdana" w:hAnsi="Verdana" w:cs="Arial"/>
          <w:bCs/>
          <w:sz w:val="20"/>
          <w:szCs w:val="20"/>
          <w:lang w:val="es-ES_tradnl"/>
        </w:rPr>
      </w:pPr>
    </w:p>
    <w:p w14:paraId="3E570704" w14:textId="77777777" w:rsidR="002B3025" w:rsidRDefault="002B3025" w:rsidP="00551D66">
      <w:pPr>
        <w:pStyle w:val="Prrafodelista"/>
        <w:numPr>
          <w:ilvl w:val="0"/>
          <w:numId w:val="33"/>
        </w:numPr>
        <w:tabs>
          <w:tab w:val="left" w:pos="567"/>
        </w:tabs>
        <w:spacing w:after="0" w:line="240" w:lineRule="auto"/>
        <w:ind w:left="567" w:hanging="567"/>
        <w:jc w:val="both"/>
        <w:rPr>
          <w:rFonts w:ascii="Verdana" w:hAnsi="Verdana" w:cs="Arial"/>
          <w:bCs/>
          <w:sz w:val="20"/>
          <w:szCs w:val="20"/>
          <w:lang w:val="es-ES_tradnl"/>
        </w:rPr>
      </w:pPr>
      <w:r w:rsidRPr="00B5183C">
        <w:rPr>
          <w:rFonts w:ascii="Verdana" w:hAnsi="Verdana" w:cs="Arial"/>
          <w:bCs/>
          <w:sz w:val="20"/>
          <w:szCs w:val="20"/>
          <w:lang w:val="es-ES_tradnl"/>
        </w:rPr>
        <w:t>Cuando del desempeño del modelo se pueda concluir que no permite una adecuada medición del riesgo de liquidez al que se expone la respectiva entidad.</w:t>
      </w:r>
    </w:p>
    <w:p w14:paraId="6AB7328A" w14:textId="77777777" w:rsidR="00B5183C" w:rsidRPr="00B5183C" w:rsidRDefault="00B5183C" w:rsidP="00B5183C">
      <w:pPr>
        <w:pStyle w:val="Prrafodelista"/>
        <w:rPr>
          <w:rFonts w:ascii="Verdana" w:hAnsi="Verdana" w:cs="Arial"/>
          <w:bCs/>
          <w:sz w:val="20"/>
          <w:szCs w:val="20"/>
          <w:lang w:val="es-ES_tradnl"/>
        </w:rPr>
      </w:pPr>
    </w:p>
    <w:p w14:paraId="546DA2C1" w14:textId="12028C68" w:rsidR="002B3025" w:rsidRDefault="002B3025" w:rsidP="00551D66">
      <w:pPr>
        <w:pStyle w:val="Prrafodelista"/>
        <w:numPr>
          <w:ilvl w:val="0"/>
          <w:numId w:val="33"/>
        </w:numPr>
        <w:tabs>
          <w:tab w:val="left" w:pos="567"/>
        </w:tabs>
        <w:spacing w:after="0" w:line="240" w:lineRule="auto"/>
        <w:ind w:left="567" w:hanging="567"/>
        <w:jc w:val="both"/>
        <w:rPr>
          <w:rFonts w:ascii="Verdana" w:hAnsi="Verdana" w:cs="Arial"/>
          <w:bCs/>
          <w:sz w:val="20"/>
          <w:szCs w:val="20"/>
          <w:lang w:val="es-ES_tradnl"/>
        </w:rPr>
      </w:pPr>
      <w:r w:rsidRPr="00B5183C">
        <w:rPr>
          <w:rFonts w:ascii="Verdana" w:hAnsi="Verdana" w:cs="Arial"/>
          <w:bCs/>
          <w:sz w:val="20"/>
          <w:szCs w:val="20"/>
          <w:lang w:val="es-ES_tradnl"/>
        </w:rPr>
        <w:t xml:space="preserve">Cuando la SFC encuentre que la gestión del riesgo de liquidez de la entidad no está funcionando de manera efectiva, eficiente y oportuna. </w:t>
      </w:r>
    </w:p>
    <w:p w14:paraId="2457DB11" w14:textId="77777777" w:rsidR="006F6AEE" w:rsidRPr="006F6AEE" w:rsidRDefault="006F6AEE" w:rsidP="006F6AEE">
      <w:pPr>
        <w:tabs>
          <w:tab w:val="left" w:pos="567"/>
        </w:tabs>
        <w:spacing w:after="0" w:line="240" w:lineRule="auto"/>
        <w:jc w:val="both"/>
        <w:rPr>
          <w:rFonts w:ascii="Verdana" w:hAnsi="Verdana" w:cs="Arial"/>
          <w:bCs/>
          <w:sz w:val="20"/>
          <w:szCs w:val="20"/>
          <w:lang w:val="es-ES_tradnl"/>
        </w:rPr>
      </w:pPr>
    </w:p>
    <w:p w14:paraId="47DC67B2" w14:textId="2A4C7D18" w:rsidR="002B3025" w:rsidRDefault="002B3025" w:rsidP="006F6AEE">
      <w:pPr>
        <w:pStyle w:val="Normal9pt"/>
        <w:rPr>
          <w:rFonts w:ascii="Verdana" w:hAnsi="Verdana"/>
          <w:b/>
          <w:sz w:val="20"/>
          <w:szCs w:val="20"/>
          <w:lang w:val="es-ES_tradnl"/>
        </w:rPr>
      </w:pPr>
      <w:r w:rsidRPr="00B5183C">
        <w:rPr>
          <w:rFonts w:ascii="Verdana" w:hAnsi="Verdana"/>
          <w:b/>
          <w:sz w:val="20"/>
          <w:szCs w:val="20"/>
          <w:lang w:val="es-ES_tradnl"/>
        </w:rPr>
        <w:t>Revelación contable</w:t>
      </w:r>
    </w:p>
    <w:p w14:paraId="5198778B" w14:textId="77777777" w:rsidR="006F6AEE" w:rsidRPr="006F6AEE" w:rsidRDefault="006F6AEE" w:rsidP="006F6AEE">
      <w:pPr>
        <w:pStyle w:val="Normal9pt"/>
        <w:rPr>
          <w:rFonts w:ascii="Verdana" w:hAnsi="Verdana"/>
          <w:b/>
          <w:sz w:val="20"/>
          <w:szCs w:val="20"/>
        </w:rPr>
      </w:pPr>
    </w:p>
    <w:p w14:paraId="3EA25AEB" w14:textId="1049527B" w:rsidR="00B5183C" w:rsidRPr="001C6CAB" w:rsidRDefault="00B5183C" w:rsidP="00B5183C">
      <w:pPr>
        <w:spacing w:after="0"/>
        <w:rPr>
          <w:rFonts w:ascii="Verdana" w:hAnsi="Verdana"/>
          <w:sz w:val="20"/>
          <w:szCs w:val="20"/>
        </w:rPr>
      </w:pPr>
      <w:r w:rsidRPr="001C6CAB">
        <w:rPr>
          <w:rFonts w:ascii="Verdana" w:hAnsi="Verdana"/>
          <w:sz w:val="20"/>
          <w:szCs w:val="20"/>
        </w:rPr>
        <w:t>1.1.3.</w:t>
      </w:r>
      <w:r w:rsidR="00854FDC">
        <w:rPr>
          <w:rFonts w:ascii="Verdana" w:hAnsi="Verdana"/>
          <w:sz w:val="20"/>
          <w:szCs w:val="20"/>
        </w:rPr>
        <w:t>198</w:t>
      </w:r>
      <w:r w:rsidRPr="001C6CAB">
        <w:rPr>
          <w:rFonts w:ascii="Verdana" w:hAnsi="Verdana"/>
          <w:sz w:val="20"/>
          <w:szCs w:val="20"/>
        </w:rPr>
        <w:t>.</w:t>
      </w:r>
    </w:p>
    <w:p w14:paraId="6D830069" w14:textId="2D49B739" w:rsidR="002B3025" w:rsidRPr="002B3025" w:rsidRDefault="002B3025" w:rsidP="00B929BB">
      <w:pPr>
        <w:jc w:val="both"/>
        <w:rPr>
          <w:rFonts w:ascii="Verdana" w:eastAsia="Arial" w:hAnsi="Verdana" w:cs="Arial"/>
          <w:bCs/>
          <w:sz w:val="20"/>
          <w:szCs w:val="20"/>
          <w:lang w:val="es"/>
        </w:rPr>
      </w:pPr>
      <w:r w:rsidRPr="002B3025">
        <w:rPr>
          <w:rFonts w:ascii="Verdana" w:eastAsia="Arial" w:hAnsi="Verdana" w:cs="Arial"/>
          <w:bCs/>
          <w:sz w:val="20"/>
          <w:szCs w:val="20"/>
          <w:lang w:val="es"/>
        </w:rPr>
        <w:t xml:space="preserve">Las entidades deben presentar en las notas a los estados financieros un resumen de su situación en materia de riesgo de liquidez. En este sentido, las notas </w:t>
      </w:r>
      <w:r w:rsidR="00974245">
        <w:rPr>
          <w:rFonts w:ascii="Verdana" w:eastAsia="Arial" w:hAnsi="Verdana" w:cs="Arial"/>
          <w:bCs/>
          <w:sz w:val="20"/>
          <w:szCs w:val="20"/>
          <w:lang w:val="es"/>
        </w:rPr>
        <w:t xml:space="preserve">a los estados financieros </w:t>
      </w:r>
      <w:r w:rsidRPr="002B3025">
        <w:rPr>
          <w:rFonts w:ascii="Verdana" w:eastAsia="Arial" w:hAnsi="Verdana" w:cs="Arial"/>
          <w:bCs/>
          <w:sz w:val="20"/>
          <w:szCs w:val="20"/>
          <w:lang w:val="es"/>
        </w:rPr>
        <w:t xml:space="preserve">deben contener información cualitativa y cuantitativa sobre la naturaleza y el monto de los descalces de flujos esperados para las bandas de tiempo comprendidas entre un día y hasta un mes señaladas en el presente </w:t>
      </w:r>
      <w:r w:rsidR="005A7BD2">
        <w:rPr>
          <w:rFonts w:ascii="Verdana" w:eastAsia="Arial" w:hAnsi="Verdana" w:cs="Arial"/>
          <w:bCs/>
          <w:sz w:val="20"/>
          <w:szCs w:val="20"/>
          <w:lang w:val="es"/>
        </w:rPr>
        <w:t>c</w:t>
      </w:r>
      <w:r w:rsidRPr="002B3025">
        <w:rPr>
          <w:rFonts w:ascii="Verdana" w:eastAsia="Arial" w:hAnsi="Verdana" w:cs="Arial"/>
          <w:bCs/>
          <w:sz w:val="20"/>
          <w:szCs w:val="20"/>
          <w:lang w:val="es"/>
        </w:rPr>
        <w:t xml:space="preserve">apítulo para la gestión de riesgo de liquidez e ilustrar cómo las distintas actividades de la entidad contribuyen a su perfil de riesgo de liquidez. </w:t>
      </w:r>
    </w:p>
    <w:p w14:paraId="2414AD79" w14:textId="064E8C21" w:rsidR="00B5183C" w:rsidRPr="001C6CAB" w:rsidRDefault="00B5183C" w:rsidP="00B5183C">
      <w:pPr>
        <w:spacing w:after="0"/>
        <w:rPr>
          <w:rFonts w:ascii="Verdana" w:hAnsi="Verdana"/>
          <w:sz w:val="20"/>
          <w:szCs w:val="20"/>
        </w:rPr>
      </w:pPr>
      <w:r w:rsidRPr="001C6CAB">
        <w:rPr>
          <w:rFonts w:ascii="Verdana" w:hAnsi="Verdana"/>
          <w:sz w:val="20"/>
          <w:szCs w:val="20"/>
        </w:rPr>
        <w:t>1.1.3.</w:t>
      </w:r>
      <w:r w:rsidR="00854FDC">
        <w:rPr>
          <w:rFonts w:ascii="Verdana" w:hAnsi="Verdana"/>
          <w:sz w:val="20"/>
          <w:szCs w:val="20"/>
        </w:rPr>
        <w:t>199</w:t>
      </w:r>
      <w:r w:rsidRPr="001C6CAB">
        <w:rPr>
          <w:rFonts w:ascii="Verdana" w:hAnsi="Verdana"/>
          <w:sz w:val="20"/>
          <w:szCs w:val="20"/>
        </w:rPr>
        <w:t>.</w:t>
      </w:r>
    </w:p>
    <w:p w14:paraId="0D57C5F1" w14:textId="57AD94E4" w:rsidR="00C50CCD" w:rsidRPr="002B3025" w:rsidRDefault="002B3025" w:rsidP="00DF5598">
      <w:pPr>
        <w:jc w:val="both"/>
        <w:rPr>
          <w:rFonts w:ascii="Verdana" w:eastAsia="Arial" w:hAnsi="Verdana" w:cs="Arial"/>
          <w:bCs/>
          <w:sz w:val="20"/>
          <w:szCs w:val="20"/>
          <w:lang w:val="es"/>
        </w:rPr>
      </w:pPr>
      <w:r w:rsidRPr="002B3025">
        <w:rPr>
          <w:rFonts w:ascii="Verdana" w:eastAsia="Arial" w:hAnsi="Verdana" w:cs="Arial"/>
          <w:bCs/>
          <w:sz w:val="20"/>
          <w:szCs w:val="20"/>
          <w:lang w:val="es"/>
        </w:rPr>
        <w:t xml:space="preserve">Sin perjuicio de las funciones asignadas en otras disposiciones, y de conformidad con lo dispuesto en el artículo 207 del Código de Comercio, el revisor fiscal debe verificar al menos una vez por semestre el estricto cumplimiento de lo dispuesto en el presente </w:t>
      </w:r>
      <w:r w:rsidR="003369FA">
        <w:rPr>
          <w:rFonts w:ascii="Verdana" w:eastAsia="Arial" w:hAnsi="Verdana" w:cs="Arial"/>
          <w:bCs/>
          <w:sz w:val="20"/>
          <w:szCs w:val="20"/>
          <w:lang w:val="es"/>
        </w:rPr>
        <w:t>c</w:t>
      </w:r>
      <w:r w:rsidRPr="002B3025">
        <w:rPr>
          <w:rFonts w:ascii="Verdana" w:eastAsia="Arial" w:hAnsi="Verdana" w:cs="Arial"/>
          <w:bCs/>
          <w:sz w:val="20"/>
          <w:szCs w:val="20"/>
          <w:lang w:val="es"/>
        </w:rPr>
        <w:t xml:space="preserve">apítulo en relación con la gestión del riesgo de liquidez e incluir un pronunciamiento expreso y detallado sobre </w:t>
      </w:r>
      <w:r w:rsidR="003369FA">
        <w:rPr>
          <w:rFonts w:ascii="Verdana" w:eastAsia="Arial" w:hAnsi="Verdana" w:cs="Arial"/>
          <w:bCs/>
          <w:sz w:val="20"/>
          <w:szCs w:val="20"/>
          <w:lang w:val="es"/>
        </w:rPr>
        <w:t>l</w:t>
      </w:r>
      <w:r w:rsidRPr="002B3025">
        <w:rPr>
          <w:rFonts w:ascii="Verdana" w:eastAsia="Arial" w:hAnsi="Verdana" w:cs="Arial"/>
          <w:bCs/>
          <w:sz w:val="20"/>
          <w:szCs w:val="20"/>
          <w:lang w:val="es"/>
        </w:rPr>
        <w:t xml:space="preserve">a gestión </w:t>
      </w:r>
      <w:r w:rsidR="00953345">
        <w:rPr>
          <w:rFonts w:ascii="Verdana" w:eastAsia="Arial" w:hAnsi="Verdana" w:cs="Arial"/>
          <w:bCs/>
          <w:sz w:val="20"/>
          <w:szCs w:val="20"/>
          <w:lang w:val="es"/>
        </w:rPr>
        <w:t xml:space="preserve">de este riesgo </w:t>
      </w:r>
      <w:r w:rsidRPr="002B3025">
        <w:rPr>
          <w:rFonts w:ascii="Verdana" w:eastAsia="Arial" w:hAnsi="Verdana" w:cs="Arial"/>
          <w:bCs/>
          <w:sz w:val="20"/>
          <w:szCs w:val="20"/>
          <w:lang w:val="es"/>
        </w:rPr>
        <w:t xml:space="preserve">dentro del dictamen </w:t>
      </w:r>
      <w:r w:rsidR="00953345">
        <w:rPr>
          <w:rFonts w:ascii="Verdana" w:eastAsia="Arial" w:hAnsi="Verdana" w:cs="Arial"/>
          <w:bCs/>
          <w:sz w:val="20"/>
          <w:szCs w:val="20"/>
          <w:lang w:val="es"/>
        </w:rPr>
        <w:t>d</w:t>
      </w:r>
      <w:r w:rsidRPr="002B3025">
        <w:rPr>
          <w:rFonts w:ascii="Verdana" w:eastAsia="Arial" w:hAnsi="Verdana" w:cs="Arial"/>
          <w:bCs/>
          <w:sz w:val="20"/>
          <w:szCs w:val="20"/>
          <w:lang w:val="es"/>
        </w:rPr>
        <w:t xml:space="preserve">e los estados financieros. </w:t>
      </w:r>
    </w:p>
    <w:p w14:paraId="2CB61811" w14:textId="77777777" w:rsidR="006F6AEE" w:rsidRDefault="002B3025" w:rsidP="006F6AEE">
      <w:pPr>
        <w:pStyle w:val="Normal9pt"/>
        <w:rPr>
          <w:rFonts w:ascii="Verdana" w:hAnsi="Verdana"/>
          <w:b/>
          <w:sz w:val="20"/>
          <w:szCs w:val="20"/>
        </w:rPr>
      </w:pPr>
      <w:r w:rsidRPr="00B5183C">
        <w:rPr>
          <w:rFonts w:ascii="Verdana" w:hAnsi="Verdana"/>
          <w:b/>
          <w:sz w:val="20"/>
          <w:szCs w:val="20"/>
          <w:lang w:val="es-ES_tradnl"/>
        </w:rPr>
        <w:t>Reportes a la</w:t>
      </w:r>
      <w:r w:rsidRPr="00B5183C">
        <w:rPr>
          <w:rFonts w:ascii="Verdana" w:hAnsi="Verdana"/>
          <w:b/>
          <w:sz w:val="20"/>
          <w:szCs w:val="20"/>
        </w:rPr>
        <w:t xml:space="preserve"> SFC</w:t>
      </w:r>
    </w:p>
    <w:p w14:paraId="298BE75F" w14:textId="77777777" w:rsidR="006F6AEE" w:rsidRDefault="006F6AEE" w:rsidP="006F6AEE">
      <w:pPr>
        <w:pStyle w:val="Normal9pt"/>
        <w:rPr>
          <w:rFonts w:ascii="Verdana" w:hAnsi="Verdana"/>
          <w:b/>
          <w:sz w:val="20"/>
          <w:szCs w:val="20"/>
        </w:rPr>
      </w:pPr>
    </w:p>
    <w:p w14:paraId="732FF23A" w14:textId="505E32C0" w:rsidR="00B5183C" w:rsidRPr="006F6AEE" w:rsidRDefault="00B5183C" w:rsidP="006F6AEE">
      <w:pPr>
        <w:pStyle w:val="Normal9pt"/>
        <w:rPr>
          <w:rFonts w:ascii="Verdana" w:hAnsi="Verdana"/>
          <w:b/>
          <w:sz w:val="20"/>
          <w:szCs w:val="20"/>
        </w:rPr>
      </w:pPr>
      <w:r w:rsidRPr="001C6CAB">
        <w:rPr>
          <w:rFonts w:ascii="Verdana" w:hAnsi="Verdana"/>
          <w:sz w:val="20"/>
          <w:szCs w:val="20"/>
        </w:rPr>
        <w:t>1.1.3.</w:t>
      </w:r>
      <w:r w:rsidR="00854FDC">
        <w:rPr>
          <w:rFonts w:ascii="Verdana" w:hAnsi="Verdana"/>
          <w:sz w:val="20"/>
          <w:szCs w:val="20"/>
        </w:rPr>
        <w:t>200</w:t>
      </w:r>
      <w:r w:rsidRPr="001C6CAB">
        <w:rPr>
          <w:rFonts w:ascii="Verdana" w:hAnsi="Verdana"/>
          <w:sz w:val="20"/>
          <w:szCs w:val="20"/>
        </w:rPr>
        <w:t>.</w:t>
      </w:r>
    </w:p>
    <w:p w14:paraId="3790E47C" w14:textId="339F7081" w:rsidR="002B3025" w:rsidRPr="002B3025" w:rsidRDefault="002B3025" w:rsidP="00E84D80">
      <w:pPr>
        <w:tabs>
          <w:tab w:val="left" w:pos="0"/>
        </w:tabs>
        <w:jc w:val="both"/>
        <w:rPr>
          <w:rFonts w:ascii="Verdana" w:hAnsi="Verdana" w:cs="Arial"/>
          <w:bCs/>
          <w:sz w:val="20"/>
          <w:szCs w:val="20"/>
        </w:rPr>
      </w:pPr>
      <w:r w:rsidRPr="002B3025">
        <w:rPr>
          <w:rFonts w:ascii="Verdana" w:hAnsi="Verdana" w:cs="Arial"/>
          <w:bCs/>
          <w:sz w:val="20"/>
          <w:szCs w:val="20"/>
        </w:rPr>
        <w:t>Los resultados de la medición de riesgo de liquidez deben reportarse a la SFC con la periodicidad establecida en los formatos previstos para este propósito.</w:t>
      </w:r>
    </w:p>
    <w:p w14:paraId="524A4F90" w14:textId="09823449" w:rsidR="002B3025" w:rsidRDefault="006F6AEE" w:rsidP="00C50CCD">
      <w:pPr>
        <w:rPr>
          <w:rFonts w:ascii="Verdana" w:hAnsi="Verdana" w:cs="Arial"/>
          <w:b/>
          <w:sz w:val="20"/>
          <w:szCs w:val="20"/>
        </w:rPr>
      </w:pPr>
      <w:r>
        <w:rPr>
          <w:rFonts w:ascii="Verdana" w:hAnsi="Verdana" w:cs="Arial"/>
          <w:b/>
          <w:sz w:val="20"/>
          <w:szCs w:val="20"/>
        </w:rPr>
        <w:br w:type="page"/>
      </w:r>
      <w:r w:rsidR="002B3025" w:rsidRPr="00E84D80">
        <w:rPr>
          <w:rFonts w:ascii="Verdana" w:hAnsi="Verdana" w:cs="Arial"/>
          <w:b/>
          <w:sz w:val="20"/>
          <w:szCs w:val="20"/>
        </w:rPr>
        <w:lastRenderedPageBreak/>
        <w:t>MODELO DE RIESGO PAÍS</w:t>
      </w:r>
    </w:p>
    <w:p w14:paraId="7D1AC0C2" w14:textId="494FBF12" w:rsidR="002B3025" w:rsidRDefault="002B3025" w:rsidP="00854FDC">
      <w:pPr>
        <w:tabs>
          <w:tab w:val="left" w:pos="0"/>
        </w:tabs>
        <w:spacing w:after="0" w:line="240" w:lineRule="auto"/>
        <w:jc w:val="both"/>
        <w:rPr>
          <w:rFonts w:ascii="Verdana" w:hAnsi="Verdana" w:cs="Arial"/>
          <w:b/>
          <w:sz w:val="20"/>
          <w:szCs w:val="20"/>
        </w:rPr>
      </w:pPr>
      <w:r w:rsidRPr="00E84D80">
        <w:rPr>
          <w:rFonts w:ascii="Verdana" w:hAnsi="Verdana" w:cs="Arial"/>
          <w:b/>
          <w:sz w:val="20"/>
          <w:szCs w:val="20"/>
        </w:rPr>
        <w:t>Ámbito de aplicación</w:t>
      </w:r>
    </w:p>
    <w:p w14:paraId="2CCAA933" w14:textId="77777777" w:rsidR="00854FDC" w:rsidRPr="00854FDC" w:rsidRDefault="00854FDC" w:rsidP="00854FDC">
      <w:pPr>
        <w:tabs>
          <w:tab w:val="left" w:pos="0"/>
        </w:tabs>
        <w:spacing w:after="0" w:line="240" w:lineRule="auto"/>
        <w:jc w:val="both"/>
        <w:rPr>
          <w:rFonts w:ascii="Verdana" w:hAnsi="Verdana" w:cs="Arial"/>
          <w:b/>
          <w:sz w:val="20"/>
          <w:szCs w:val="20"/>
        </w:rPr>
      </w:pPr>
    </w:p>
    <w:p w14:paraId="559DCC3B" w14:textId="74B80EC0" w:rsidR="00E84D80" w:rsidRPr="001C6CAB" w:rsidRDefault="00E84D80" w:rsidP="00E84D80">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102BFC">
        <w:rPr>
          <w:rFonts w:ascii="Verdana" w:hAnsi="Verdana"/>
          <w:sz w:val="20"/>
          <w:szCs w:val="20"/>
        </w:rPr>
        <w:t>01</w:t>
      </w:r>
      <w:r w:rsidRPr="001C6CAB">
        <w:rPr>
          <w:rFonts w:ascii="Verdana" w:hAnsi="Verdana"/>
          <w:sz w:val="20"/>
          <w:szCs w:val="20"/>
        </w:rPr>
        <w:t>.</w:t>
      </w:r>
    </w:p>
    <w:p w14:paraId="718312E4" w14:textId="4725DBAD" w:rsidR="002B3025" w:rsidRPr="002B3025" w:rsidRDefault="002B3025" w:rsidP="00B929BB">
      <w:pPr>
        <w:tabs>
          <w:tab w:val="left" w:pos="0"/>
        </w:tabs>
        <w:jc w:val="both"/>
        <w:rPr>
          <w:rFonts w:ascii="Verdana" w:hAnsi="Verdana" w:cs="Arial"/>
          <w:bCs/>
          <w:sz w:val="20"/>
          <w:szCs w:val="20"/>
        </w:rPr>
      </w:pPr>
      <w:r w:rsidRPr="002B3025">
        <w:rPr>
          <w:rFonts w:ascii="Verdana" w:hAnsi="Verdana" w:cs="Arial"/>
          <w:bCs/>
          <w:sz w:val="20"/>
          <w:szCs w:val="20"/>
        </w:rPr>
        <w:t>Las entidades vigiladas que en desarrollo de sus operaciones financieras autorizadas se encuentren expuestas al riesgo país, por tener inversiones de capital en el exterior, deben diseñar un modelo que les permita gestionar este riesgo y clasificar al país receptor de la operación que mejor refleje su clasificación, de conformidad con las siguientes categorías de riesgo:</w:t>
      </w:r>
    </w:p>
    <w:p w14:paraId="49DA92DD" w14:textId="16056243" w:rsidR="002B3025" w:rsidRDefault="002B3025" w:rsidP="00C50CCD">
      <w:pPr>
        <w:tabs>
          <w:tab w:val="left" w:pos="0"/>
        </w:tabs>
        <w:spacing w:after="0" w:line="240" w:lineRule="auto"/>
        <w:jc w:val="both"/>
        <w:rPr>
          <w:rFonts w:ascii="Verdana" w:hAnsi="Verdana" w:cs="Arial"/>
          <w:b/>
          <w:sz w:val="20"/>
          <w:szCs w:val="20"/>
        </w:rPr>
      </w:pPr>
      <w:r w:rsidRPr="00772432">
        <w:rPr>
          <w:rFonts w:ascii="Verdana" w:hAnsi="Verdana" w:cs="Arial"/>
          <w:b/>
          <w:sz w:val="20"/>
          <w:szCs w:val="20"/>
        </w:rPr>
        <w:t>Categorías de riesgo país</w:t>
      </w:r>
    </w:p>
    <w:p w14:paraId="34167E57" w14:textId="77777777" w:rsidR="00C50CCD" w:rsidRPr="00C50CCD" w:rsidRDefault="00C50CCD" w:rsidP="00C50CCD">
      <w:pPr>
        <w:tabs>
          <w:tab w:val="left" w:pos="0"/>
        </w:tabs>
        <w:spacing w:after="0" w:line="240" w:lineRule="auto"/>
        <w:jc w:val="both"/>
        <w:rPr>
          <w:rFonts w:ascii="Verdana" w:hAnsi="Verdana" w:cs="Arial"/>
          <w:b/>
          <w:sz w:val="20"/>
          <w:szCs w:val="20"/>
        </w:rPr>
      </w:pPr>
    </w:p>
    <w:p w14:paraId="040F8D0A" w14:textId="5B84F746" w:rsidR="00772432" w:rsidRPr="001C6CAB" w:rsidRDefault="00772432" w:rsidP="00772432">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102BFC">
        <w:rPr>
          <w:rFonts w:ascii="Verdana" w:hAnsi="Verdana"/>
          <w:sz w:val="20"/>
          <w:szCs w:val="20"/>
        </w:rPr>
        <w:t>02</w:t>
      </w:r>
      <w:r w:rsidRPr="001C6CAB">
        <w:rPr>
          <w:rFonts w:ascii="Verdana" w:hAnsi="Verdana"/>
          <w:sz w:val="20"/>
          <w:szCs w:val="20"/>
        </w:rPr>
        <w:t>.</w:t>
      </w:r>
    </w:p>
    <w:p w14:paraId="151281C6" w14:textId="2273BBBD" w:rsidR="002B3025" w:rsidRPr="002B3025" w:rsidRDefault="002B3025" w:rsidP="00B929BB">
      <w:pPr>
        <w:tabs>
          <w:tab w:val="left" w:pos="540"/>
        </w:tabs>
        <w:jc w:val="both"/>
        <w:rPr>
          <w:rFonts w:ascii="Verdana" w:hAnsi="Verdana" w:cs="Arial"/>
          <w:bCs/>
          <w:sz w:val="20"/>
          <w:szCs w:val="20"/>
        </w:rPr>
      </w:pPr>
      <w:r w:rsidRPr="002B3025">
        <w:rPr>
          <w:rFonts w:ascii="Verdana" w:hAnsi="Verdana" w:cs="Arial"/>
          <w:bCs/>
          <w:sz w:val="20"/>
          <w:szCs w:val="20"/>
        </w:rPr>
        <w:t>De conformidad con el análisis base y complementario del riesgo país</w:t>
      </w:r>
      <w:r w:rsidR="005E7F50">
        <w:rPr>
          <w:rFonts w:ascii="Verdana" w:hAnsi="Verdana" w:cs="Arial"/>
          <w:bCs/>
          <w:sz w:val="20"/>
          <w:szCs w:val="20"/>
        </w:rPr>
        <w:t xml:space="preserve"> según </w:t>
      </w:r>
      <w:r w:rsidR="003B48EB">
        <w:rPr>
          <w:rFonts w:ascii="Verdana" w:hAnsi="Verdana" w:cs="Arial"/>
          <w:bCs/>
          <w:sz w:val="20"/>
          <w:szCs w:val="20"/>
        </w:rPr>
        <w:t xml:space="preserve">lo señalado entre </w:t>
      </w:r>
      <w:r w:rsidR="005E7F50">
        <w:rPr>
          <w:rFonts w:ascii="Verdana" w:hAnsi="Verdana" w:cs="Arial"/>
          <w:bCs/>
          <w:sz w:val="20"/>
          <w:szCs w:val="20"/>
        </w:rPr>
        <w:t>los párrafos 1.1.2.209. y 1.1.2.21</w:t>
      </w:r>
      <w:r w:rsidR="003B48EB">
        <w:rPr>
          <w:rFonts w:ascii="Verdana" w:hAnsi="Verdana" w:cs="Arial"/>
          <w:bCs/>
          <w:sz w:val="20"/>
          <w:szCs w:val="20"/>
        </w:rPr>
        <w:t>6</w:t>
      </w:r>
      <w:r w:rsidR="005E7F50">
        <w:rPr>
          <w:rFonts w:ascii="Verdana" w:hAnsi="Verdana" w:cs="Arial"/>
          <w:bCs/>
          <w:sz w:val="20"/>
          <w:szCs w:val="20"/>
        </w:rPr>
        <w:t>.</w:t>
      </w:r>
      <w:r w:rsidRPr="002B3025">
        <w:rPr>
          <w:rFonts w:ascii="Verdana" w:hAnsi="Verdana" w:cs="Arial"/>
          <w:bCs/>
          <w:sz w:val="20"/>
          <w:szCs w:val="20"/>
        </w:rPr>
        <w:t>, la entidad debe clasificar el país evaluado en alguna de las categorías que se indican a continuación. Para estos efectos, el análisis de clasificación debe evaluar cada categoría de forma independiente y de manera descendente:</w:t>
      </w:r>
    </w:p>
    <w:p w14:paraId="62B2EBF6" w14:textId="4D6F1A31" w:rsidR="00C50CCD" w:rsidRPr="00C50CCD" w:rsidRDefault="002B3025" w:rsidP="00551D66">
      <w:pPr>
        <w:pStyle w:val="Prrafodelista"/>
        <w:numPr>
          <w:ilvl w:val="0"/>
          <w:numId w:val="39"/>
        </w:numPr>
        <w:autoSpaceDE w:val="0"/>
        <w:autoSpaceDN w:val="0"/>
        <w:adjustRightInd w:val="0"/>
        <w:spacing w:after="0" w:line="240" w:lineRule="auto"/>
        <w:ind w:left="284" w:hanging="284"/>
        <w:jc w:val="both"/>
        <w:rPr>
          <w:rFonts w:ascii="Verdana" w:hAnsi="Verdana" w:cs="Arial"/>
          <w:b/>
          <w:sz w:val="20"/>
          <w:szCs w:val="20"/>
        </w:rPr>
      </w:pPr>
      <w:r w:rsidRPr="00C50CCD">
        <w:rPr>
          <w:rFonts w:ascii="Verdana" w:hAnsi="Verdana" w:cs="Arial"/>
          <w:b/>
          <w:sz w:val="20"/>
          <w:szCs w:val="20"/>
        </w:rPr>
        <w:t>Categoría A</w:t>
      </w:r>
    </w:p>
    <w:p w14:paraId="2A6ACE07" w14:textId="77777777" w:rsidR="00C50CCD" w:rsidRPr="00C50CCD" w:rsidRDefault="00C50CCD" w:rsidP="00C50CCD">
      <w:pPr>
        <w:autoSpaceDE w:val="0"/>
        <w:autoSpaceDN w:val="0"/>
        <w:adjustRightInd w:val="0"/>
        <w:spacing w:after="0" w:line="240" w:lineRule="auto"/>
        <w:jc w:val="both"/>
        <w:rPr>
          <w:rFonts w:ascii="Verdana" w:hAnsi="Verdana" w:cs="Arial"/>
          <w:b/>
          <w:sz w:val="20"/>
          <w:szCs w:val="20"/>
        </w:rPr>
      </w:pPr>
    </w:p>
    <w:p w14:paraId="1FC70BC4" w14:textId="4E7C2C25" w:rsidR="00772432" w:rsidRPr="001C6CAB" w:rsidRDefault="00772432" w:rsidP="00772432">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102BFC">
        <w:rPr>
          <w:rFonts w:ascii="Verdana" w:hAnsi="Verdana"/>
          <w:sz w:val="20"/>
          <w:szCs w:val="20"/>
        </w:rPr>
        <w:t>03</w:t>
      </w:r>
      <w:r w:rsidRPr="001C6CAB">
        <w:rPr>
          <w:rFonts w:ascii="Verdana" w:hAnsi="Verdana"/>
          <w:sz w:val="20"/>
          <w:szCs w:val="20"/>
        </w:rPr>
        <w:t>.</w:t>
      </w:r>
    </w:p>
    <w:p w14:paraId="695DC5EF" w14:textId="77777777" w:rsidR="002B3025" w:rsidRPr="002B3025" w:rsidRDefault="002B3025" w:rsidP="00B929BB">
      <w:pPr>
        <w:autoSpaceDE w:val="0"/>
        <w:autoSpaceDN w:val="0"/>
        <w:adjustRightInd w:val="0"/>
        <w:jc w:val="both"/>
        <w:rPr>
          <w:rFonts w:ascii="Verdana" w:hAnsi="Verdana" w:cs="Arial"/>
          <w:bCs/>
          <w:sz w:val="20"/>
          <w:szCs w:val="20"/>
        </w:rPr>
      </w:pPr>
      <w:r w:rsidRPr="002B3025">
        <w:rPr>
          <w:rFonts w:ascii="Verdana" w:hAnsi="Verdana" w:cs="Arial"/>
          <w:bCs/>
          <w:sz w:val="20"/>
          <w:szCs w:val="20"/>
        </w:rPr>
        <w:t>Países que muestran una condición satisfactoria, para lo cual, como mínimo, deben:</w:t>
      </w:r>
    </w:p>
    <w:p w14:paraId="2967E928" w14:textId="77777777" w:rsidR="002B3025" w:rsidRDefault="002B3025" w:rsidP="00551D66">
      <w:pPr>
        <w:pStyle w:val="Prrafodelista"/>
        <w:numPr>
          <w:ilvl w:val="0"/>
          <w:numId w:val="34"/>
        </w:numPr>
        <w:autoSpaceDE w:val="0"/>
        <w:autoSpaceDN w:val="0"/>
        <w:adjustRightInd w:val="0"/>
        <w:spacing w:after="0" w:line="240" w:lineRule="auto"/>
        <w:ind w:left="567" w:hanging="567"/>
        <w:jc w:val="both"/>
        <w:rPr>
          <w:rFonts w:ascii="Verdana" w:hAnsi="Verdana" w:cs="Arial"/>
          <w:bCs/>
          <w:sz w:val="20"/>
          <w:szCs w:val="20"/>
        </w:rPr>
      </w:pPr>
      <w:r w:rsidRPr="00772432">
        <w:rPr>
          <w:rFonts w:ascii="Verdana" w:hAnsi="Verdana" w:cs="Arial"/>
          <w:bCs/>
          <w:sz w:val="20"/>
          <w:szCs w:val="20"/>
        </w:rPr>
        <w:t>Presentar una situación económica, financiera y sociopolítica favorable, y su marco jurídico no impide el cumplimiento de los términos pactados en la inversión.</w:t>
      </w:r>
    </w:p>
    <w:p w14:paraId="25DF7843" w14:textId="77777777" w:rsidR="00772432" w:rsidRPr="00772432" w:rsidRDefault="00772432" w:rsidP="00772432">
      <w:pPr>
        <w:pStyle w:val="Prrafodelista"/>
        <w:autoSpaceDE w:val="0"/>
        <w:autoSpaceDN w:val="0"/>
        <w:adjustRightInd w:val="0"/>
        <w:spacing w:after="0" w:line="240" w:lineRule="auto"/>
        <w:ind w:left="567"/>
        <w:jc w:val="both"/>
        <w:rPr>
          <w:rFonts w:ascii="Verdana" w:hAnsi="Verdana" w:cs="Arial"/>
          <w:bCs/>
          <w:sz w:val="20"/>
          <w:szCs w:val="20"/>
        </w:rPr>
      </w:pPr>
    </w:p>
    <w:p w14:paraId="4DF7932D" w14:textId="77777777" w:rsidR="002B3025" w:rsidRDefault="002B3025" w:rsidP="00551D66">
      <w:pPr>
        <w:pStyle w:val="Prrafodelista"/>
        <w:numPr>
          <w:ilvl w:val="0"/>
          <w:numId w:val="34"/>
        </w:numPr>
        <w:autoSpaceDE w:val="0"/>
        <w:autoSpaceDN w:val="0"/>
        <w:adjustRightInd w:val="0"/>
        <w:spacing w:after="0" w:line="240" w:lineRule="auto"/>
        <w:ind w:left="567" w:hanging="567"/>
        <w:jc w:val="both"/>
        <w:rPr>
          <w:rFonts w:ascii="Verdana" w:hAnsi="Verdana" w:cs="Arial"/>
          <w:bCs/>
          <w:sz w:val="20"/>
          <w:szCs w:val="20"/>
        </w:rPr>
      </w:pPr>
      <w:r w:rsidRPr="00772432">
        <w:rPr>
          <w:rFonts w:ascii="Verdana" w:hAnsi="Verdana" w:cs="Arial"/>
          <w:bCs/>
          <w:sz w:val="20"/>
          <w:szCs w:val="20"/>
        </w:rPr>
        <w:t>Cumplir y haber cumplido con sus obligaciones en el exterior.</w:t>
      </w:r>
    </w:p>
    <w:p w14:paraId="67225DD2" w14:textId="77777777" w:rsidR="00772432" w:rsidRPr="00772432" w:rsidRDefault="00772432" w:rsidP="00772432">
      <w:pPr>
        <w:pStyle w:val="Prrafodelista"/>
        <w:rPr>
          <w:rFonts w:ascii="Verdana" w:hAnsi="Verdana" w:cs="Arial"/>
          <w:bCs/>
          <w:sz w:val="20"/>
          <w:szCs w:val="20"/>
        </w:rPr>
      </w:pPr>
    </w:p>
    <w:p w14:paraId="0BC52AB2" w14:textId="77777777" w:rsidR="00772432" w:rsidRDefault="002B3025" w:rsidP="00551D66">
      <w:pPr>
        <w:pStyle w:val="Prrafodelista"/>
        <w:numPr>
          <w:ilvl w:val="0"/>
          <w:numId w:val="34"/>
        </w:numPr>
        <w:autoSpaceDE w:val="0"/>
        <w:autoSpaceDN w:val="0"/>
        <w:adjustRightInd w:val="0"/>
        <w:spacing w:after="0" w:line="240" w:lineRule="auto"/>
        <w:ind w:left="567" w:hanging="567"/>
        <w:jc w:val="both"/>
        <w:rPr>
          <w:rFonts w:ascii="Verdana" w:hAnsi="Verdana" w:cs="Arial"/>
          <w:bCs/>
          <w:sz w:val="20"/>
          <w:szCs w:val="20"/>
        </w:rPr>
      </w:pPr>
      <w:r w:rsidRPr="00772432">
        <w:rPr>
          <w:rFonts w:ascii="Verdana" w:hAnsi="Verdana" w:cs="Arial"/>
          <w:bCs/>
          <w:sz w:val="20"/>
          <w:szCs w:val="20"/>
        </w:rPr>
        <w:t>No presentar restricciones en las transacciones financieras internacionales sobre utilidades.</w:t>
      </w:r>
    </w:p>
    <w:p w14:paraId="2603A271" w14:textId="77777777" w:rsidR="00772432" w:rsidRPr="00772432" w:rsidRDefault="00772432" w:rsidP="00772432">
      <w:pPr>
        <w:pStyle w:val="Prrafodelista"/>
        <w:rPr>
          <w:rFonts w:ascii="Verdana" w:hAnsi="Verdana" w:cs="Arial"/>
          <w:bCs/>
          <w:sz w:val="20"/>
          <w:szCs w:val="20"/>
        </w:rPr>
      </w:pPr>
    </w:p>
    <w:p w14:paraId="434E7B79" w14:textId="77777777" w:rsidR="00772432" w:rsidRDefault="002B3025" w:rsidP="00551D66">
      <w:pPr>
        <w:pStyle w:val="Prrafodelista"/>
        <w:numPr>
          <w:ilvl w:val="0"/>
          <w:numId w:val="34"/>
        </w:numPr>
        <w:autoSpaceDE w:val="0"/>
        <w:autoSpaceDN w:val="0"/>
        <w:adjustRightInd w:val="0"/>
        <w:spacing w:after="0" w:line="240" w:lineRule="auto"/>
        <w:ind w:left="567" w:hanging="567"/>
        <w:jc w:val="both"/>
        <w:rPr>
          <w:rFonts w:ascii="Verdana" w:hAnsi="Verdana" w:cs="Arial"/>
          <w:bCs/>
          <w:sz w:val="20"/>
          <w:szCs w:val="20"/>
        </w:rPr>
      </w:pPr>
      <w:r w:rsidRPr="00772432">
        <w:rPr>
          <w:rFonts w:ascii="Verdana" w:hAnsi="Verdana" w:cs="Arial"/>
          <w:bCs/>
          <w:sz w:val="20"/>
          <w:szCs w:val="20"/>
        </w:rPr>
        <w:t>Contar con la calificación externa de su deuda soberana “grado de inversión” por parte de una de las agencias calificadoras internacionales de riesgo de crédito reconocidas.</w:t>
      </w:r>
    </w:p>
    <w:p w14:paraId="34E39DE9" w14:textId="77777777" w:rsidR="00772432" w:rsidRPr="00772432" w:rsidRDefault="00772432" w:rsidP="00772432">
      <w:pPr>
        <w:pStyle w:val="Prrafodelista"/>
        <w:rPr>
          <w:rFonts w:ascii="Verdana" w:hAnsi="Verdana" w:cs="Arial"/>
          <w:bCs/>
          <w:sz w:val="20"/>
          <w:szCs w:val="20"/>
        </w:rPr>
      </w:pPr>
    </w:p>
    <w:p w14:paraId="504AA9D0" w14:textId="70F5662D" w:rsidR="00772432" w:rsidRDefault="002B3025" w:rsidP="00551D66">
      <w:pPr>
        <w:pStyle w:val="Prrafodelista"/>
        <w:numPr>
          <w:ilvl w:val="0"/>
          <w:numId w:val="34"/>
        </w:numPr>
        <w:autoSpaceDE w:val="0"/>
        <w:autoSpaceDN w:val="0"/>
        <w:adjustRightInd w:val="0"/>
        <w:spacing w:after="0" w:line="240" w:lineRule="auto"/>
        <w:ind w:left="567" w:hanging="567"/>
        <w:jc w:val="both"/>
        <w:rPr>
          <w:rFonts w:ascii="Verdana" w:hAnsi="Verdana" w:cs="Arial"/>
          <w:bCs/>
          <w:sz w:val="20"/>
          <w:szCs w:val="20"/>
        </w:rPr>
      </w:pPr>
      <w:r w:rsidRPr="000859AB">
        <w:rPr>
          <w:rFonts w:ascii="Verdana" w:hAnsi="Verdana" w:cs="Arial"/>
          <w:bCs/>
          <w:sz w:val="20"/>
          <w:szCs w:val="20"/>
        </w:rPr>
        <w:t>La condición del literal a. de esta categoría tiende a consolidarse</w:t>
      </w:r>
      <w:r w:rsidRPr="00772432">
        <w:rPr>
          <w:rFonts w:ascii="Verdana" w:hAnsi="Verdana" w:cs="Arial"/>
          <w:bCs/>
          <w:sz w:val="20"/>
          <w:szCs w:val="20"/>
        </w:rPr>
        <w:t>, especialmente porque sus perspectivas de crecimiento económico, estabilidad financiera y sociopolítica son estables para los próximos dos años.</w:t>
      </w:r>
    </w:p>
    <w:p w14:paraId="557D3A8E" w14:textId="77777777" w:rsidR="00FC4CA5" w:rsidRPr="00FC4CA5" w:rsidRDefault="00FC4CA5" w:rsidP="00FC4CA5">
      <w:pPr>
        <w:autoSpaceDE w:val="0"/>
        <w:autoSpaceDN w:val="0"/>
        <w:adjustRightInd w:val="0"/>
        <w:spacing w:after="0" w:line="240" w:lineRule="auto"/>
        <w:jc w:val="both"/>
        <w:rPr>
          <w:rFonts w:ascii="Verdana" w:hAnsi="Verdana" w:cs="Arial"/>
          <w:bCs/>
          <w:sz w:val="20"/>
          <w:szCs w:val="20"/>
        </w:rPr>
      </w:pPr>
    </w:p>
    <w:p w14:paraId="1E86B6CD" w14:textId="77777777" w:rsidR="002B3025" w:rsidRPr="00C50CCD" w:rsidRDefault="002B3025" w:rsidP="00551D66">
      <w:pPr>
        <w:pStyle w:val="Prrafodelista"/>
        <w:numPr>
          <w:ilvl w:val="0"/>
          <w:numId w:val="39"/>
        </w:numPr>
        <w:autoSpaceDE w:val="0"/>
        <w:autoSpaceDN w:val="0"/>
        <w:adjustRightInd w:val="0"/>
        <w:spacing w:after="0" w:line="240" w:lineRule="auto"/>
        <w:ind w:left="284" w:hanging="284"/>
        <w:jc w:val="both"/>
        <w:rPr>
          <w:rFonts w:ascii="Verdana" w:hAnsi="Verdana" w:cs="Arial"/>
          <w:b/>
          <w:sz w:val="20"/>
          <w:szCs w:val="20"/>
        </w:rPr>
      </w:pPr>
      <w:r w:rsidRPr="00C50CCD">
        <w:rPr>
          <w:rFonts w:ascii="Verdana" w:hAnsi="Verdana" w:cs="Arial"/>
          <w:b/>
          <w:sz w:val="20"/>
          <w:szCs w:val="20"/>
        </w:rPr>
        <w:t>Categoría B</w:t>
      </w:r>
    </w:p>
    <w:p w14:paraId="25ED7CF5" w14:textId="77777777" w:rsidR="0090693E" w:rsidRDefault="0090693E" w:rsidP="00772432">
      <w:pPr>
        <w:spacing w:after="0"/>
        <w:rPr>
          <w:rFonts w:ascii="Verdana" w:hAnsi="Verdana"/>
          <w:sz w:val="20"/>
          <w:szCs w:val="20"/>
        </w:rPr>
      </w:pPr>
    </w:p>
    <w:p w14:paraId="1FE1C3BC" w14:textId="7D32A7D4" w:rsidR="00772432" w:rsidRPr="001C6CAB" w:rsidRDefault="00772432" w:rsidP="00772432">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102BFC">
        <w:rPr>
          <w:rFonts w:ascii="Verdana" w:hAnsi="Verdana"/>
          <w:sz w:val="20"/>
          <w:szCs w:val="20"/>
        </w:rPr>
        <w:t>04</w:t>
      </w:r>
      <w:r w:rsidRPr="001C6CAB">
        <w:rPr>
          <w:rFonts w:ascii="Verdana" w:hAnsi="Verdana"/>
          <w:sz w:val="20"/>
          <w:szCs w:val="20"/>
        </w:rPr>
        <w:t>.</w:t>
      </w:r>
    </w:p>
    <w:p w14:paraId="26EFA7EB" w14:textId="4A14360E" w:rsidR="002B3025" w:rsidRPr="002B3025" w:rsidRDefault="002B3025" w:rsidP="00B929BB">
      <w:pPr>
        <w:autoSpaceDE w:val="0"/>
        <w:autoSpaceDN w:val="0"/>
        <w:adjustRightInd w:val="0"/>
        <w:jc w:val="both"/>
        <w:rPr>
          <w:rFonts w:ascii="Verdana" w:hAnsi="Verdana" w:cs="Arial"/>
          <w:bCs/>
          <w:sz w:val="20"/>
          <w:szCs w:val="20"/>
        </w:rPr>
      </w:pPr>
      <w:r w:rsidRPr="002B3025">
        <w:rPr>
          <w:rFonts w:ascii="Verdana" w:hAnsi="Verdana" w:cs="Arial"/>
          <w:bCs/>
          <w:sz w:val="20"/>
          <w:szCs w:val="20"/>
        </w:rPr>
        <w:t xml:space="preserve">Países en los cuales la situación económica, financiera y sociopolítica es estable, no presenta restricciones a las transacciones financieras internacionales sobre utilidades y/o retrasos en el pago de las obligaciones financieras en el exterior; sin embargo, no se cumple alguno de los aspectos de evaluación </w:t>
      </w:r>
      <w:r w:rsidRPr="000859AB">
        <w:rPr>
          <w:rFonts w:ascii="Verdana" w:hAnsi="Verdana" w:cs="Arial"/>
          <w:bCs/>
          <w:sz w:val="20"/>
          <w:szCs w:val="20"/>
        </w:rPr>
        <w:t xml:space="preserve">definidos en los literales </w:t>
      </w:r>
      <w:r w:rsidR="000859AB">
        <w:rPr>
          <w:rFonts w:ascii="Verdana" w:hAnsi="Verdana" w:cs="Arial"/>
          <w:bCs/>
          <w:sz w:val="20"/>
          <w:szCs w:val="20"/>
        </w:rPr>
        <w:t>(</w:t>
      </w:r>
      <w:r w:rsidRPr="000859AB">
        <w:rPr>
          <w:rFonts w:ascii="Verdana" w:hAnsi="Verdana" w:cs="Arial"/>
          <w:bCs/>
          <w:sz w:val="20"/>
          <w:szCs w:val="20"/>
        </w:rPr>
        <w:t>d</w:t>
      </w:r>
      <w:r w:rsidR="000859AB">
        <w:rPr>
          <w:rFonts w:ascii="Verdana" w:hAnsi="Verdana" w:cs="Arial"/>
          <w:bCs/>
          <w:sz w:val="20"/>
          <w:szCs w:val="20"/>
        </w:rPr>
        <w:t>)</w:t>
      </w:r>
      <w:r w:rsidRPr="000859AB">
        <w:rPr>
          <w:rFonts w:ascii="Verdana" w:hAnsi="Verdana" w:cs="Arial"/>
          <w:bCs/>
          <w:sz w:val="20"/>
          <w:szCs w:val="20"/>
        </w:rPr>
        <w:t xml:space="preserve"> y </w:t>
      </w:r>
      <w:r w:rsidR="000859AB">
        <w:rPr>
          <w:rFonts w:ascii="Verdana" w:hAnsi="Verdana" w:cs="Arial"/>
          <w:bCs/>
          <w:sz w:val="20"/>
          <w:szCs w:val="20"/>
        </w:rPr>
        <w:t>(</w:t>
      </w:r>
      <w:r w:rsidRPr="000859AB">
        <w:rPr>
          <w:rFonts w:ascii="Verdana" w:hAnsi="Verdana" w:cs="Arial"/>
          <w:bCs/>
          <w:sz w:val="20"/>
          <w:szCs w:val="20"/>
        </w:rPr>
        <w:t>e</w:t>
      </w:r>
      <w:r w:rsidR="000859AB">
        <w:rPr>
          <w:rFonts w:ascii="Verdana" w:hAnsi="Verdana" w:cs="Arial"/>
          <w:bCs/>
          <w:sz w:val="20"/>
          <w:szCs w:val="20"/>
        </w:rPr>
        <w:t>)</w:t>
      </w:r>
      <w:r w:rsidRPr="000859AB">
        <w:rPr>
          <w:rFonts w:ascii="Verdana" w:hAnsi="Verdana" w:cs="Arial"/>
          <w:bCs/>
          <w:sz w:val="20"/>
          <w:szCs w:val="20"/>
        </w:rPr>
        <w:t xml:space="preserve"> de la categoría A.</w:t>
      </w:r>
      <w:r w:rsidRPr="002B3025">
        <w:rPr>
          <w:rFonts w:ascii="Verdana" w:hAnsi="Verdana" w:cs="Arial"/>
          <w:bCs/>
          <w:sz w:val="20"/>
          <w:szCs w:val="20"/>
        </w:rPr>
        <w:t xml:space="preserve"> </w:t>
      </w:r>
    </w:p>
    <w:p w14:paraId="5687B4D0" w14:textId="45C100D3" w:rsidR="002B3025" w:rsidRDefault="002B3025" w:rsidP="00551D66">
      <w:pPr>
        <w:pStyle w:val="Prrafodelista"/>
        <w:numPr>
          <w:ilvl w:val="0"/>
          <w:numId w:val="39"/>
        </w:numPr>
        <w:tabs>
          <w:tab w:val="left" w:pos="540"/>
        </w:tabs>
        <w:spacing w:after="0" w:line="240" w:lineRule="auto"/>
        <w:ind w:left="284" w:hanging="284"/>
        <w:jc w:val="both"/>
        <w:rPr>
          <w:rFonts w:ascii="Verdana" w:hAnsi="Verdana" w:cs="Arial"/>
          <w:b/>
          <w:sz w:val="20"/>
          <w:szCs w:val="20"/>
        </w:rPr>
      </w:pPr>
      <w:r w:rsidRPr="00FC4CA5">
        <w:rPr>
          <w:rFonts w:ascii="Verdana" w:hAnsi="Verdana" w:cs="Arial"/>
          <w:b/>
          <w:sz w:val="20"/>
          <w:szCs w:val="20"/>
        </w:rPr>
        <w:t>Categoría C</w:t>
      </w:r>
    </w:p>
    <w:p w14:paraId="587D4A77" w14:textId="77777777" w:rsidR="00FC4CA5" w:rsidRPr="00FC4CA5" w:rsidRDefault="00FC4CA5" w:rsidP="00FC4CA5">
      <w:pPr>
        <w:pStyle w:val="Prrafodelista"/>
        <w:tabs>
          <w:tab w:val="left" w:pos="540"/>
        </w:tabs>
        <w:spacing w:after="0" w:line="240" w:lineRule="auto"/>
        <w:ind w:left="284"/>
        <w:jc w:val="both"/>
        <w:rPr>
          <w:rFonts w:ascii="Verdana" w:hAnsi="Verdana" w:cs="Arial"/>
          <w:b/>
          <w:sz w:val="20"/>
          <w:szCs w:val="20"/>
        </w:rPr>
      </w:pPr>
    </w:p>
    <w:p w14:paraId="67C27265" w14:textId="14425EC0" w:rsidR="00013853" w:rsidRPr="001C6CAB" w:rsidRDefault="00013853" w:rsidP="00013853">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102BFC">
        <w:rPr>
          <w:rFonts w:ascii="Verdana" w:hAnsi="Verdana"/>
          <w:sz w:val="20"/>
          <w:szCs w:val="20"/>
        </w:rPr>
        <w:t>05</w:t>
      </w:r>
      <w:r w:rsidRPr="001C6CAB">
        <w:rPr>
          <w:rFonts w:ascii="Verdana" w:hAnsi="Verdana"/>
          <w:sz w:val="20"/>
          <w:szCs w:val="20"/>
        </w:rPr>
        <w:t>.</w:t>
      </w:r>
    </w:p>
    <w:p w14:paraId="2F3060B6" w14:textId="2F8E58BD" w:rsidR="002B3025" w:rsidRPr="002B3025" w:rsidRDefault="002B3025" w:rsidP="12B437D6">
      <w:pPr>
        <w:tabs>
          <w:tab w:val="left" w:pos="540"/>
        </w:tabs>
        <w:jc w:val="both"/>
        <w:rPr>
          <w:rFonts w:ascii="Verdana" w:hAnsi="Verdana" w:cs="Arial"/>
          <w:sz w:val="20"/>
          <w:szCs w:val="20"/>
        </w:rPr>
      </w:pPr>
      <w:r w:rsidRPr="12B437D6">
        <w:rPr>
          <w:rFonts w:ascii="Verdana" w:hAnsi="Verdana" w:cs="Arial"/>
          <w:sz w:val="20"/>
          <w:szCs w:val="20"/>
        </w:rPr>
        <w:t xml:space="preserve">Países en donde los factores de evaluación </w:t>
      </w:r>
      <w:r w:rsidR="005A3600">
        <w:rPr>
          <w:rFonts w:ascii="Verdana" w:hAnsi="Verdana" w:cs="Arial"/>
          <w:bCs/>
          <w:sz w:val="20"/>
          <w:szCs w:val="20"/>
        </w:rPr>
        <w:t>señalados entre los párrafos 1.1.2.206. y 1.1.2.</w:t>
      </w:r>
      <w:r w:rsidR="005A3600" w:rsidRPr="00366D7A">
        <w:rPr>
          <w:rFonts w:ascii="Verdana" w:hAnsi="Verdana" w:cs="Arial"/>
          <w:bCs/>
          <w:sz w:val="20"/>
          <w:szCs w:val="20"/>
        </w:rPr>
        <w:t>216.</w:t>
      </w:r>
      <w:r w:rsidRPr="00366D7A">
        <w:rPr>
          <w:rFonts w:ascii="Verdana" w:hAnsi="Verdana" w:cs="Arial"/>
          <w:sz w:val="20"/>
          <w:szCs w:val="20"/>
        </w:rPr>
        <w:t xml:space="preserve"> muestran una condición</w:t>
      </w:r>
      <w:r w:rsidRPr="12B437D6">
        <w:rPr>
          <w:rFonts w:ascii="Verdana" w:hAnsi="Verdana" w:cs="Arial"/>
          <w:sz w:val="20"/>
          <w:szCs w:val="20"/>
        </w:rPr>
        <w:t xml:space="preserve"> de mayor riesgo que los clasificados en la categoría B, aunque controlables en el corto plazo. En esta categoría también deben clasificarse aquellos países que, durante el último año, presentan de manera consistente una inflación anual superior al 10% y/o su relación Deuda Total/PIB sea mayor al 80% durante el último año, en que se realizó el análisis.</w:t>
      </w:r>
    </w:p>
    <w:p w14:paraId="6A843F94" w14:textId="06FA956F" w:rsidR="00013853" w:rsidRPr="001C6CAB" w:rsidRDefault="00013853" w:rsidP="00013853">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102BFC">
        <w:rPr>
          <w:rFonts w:ascii="Verdana" w:hAnsi="Verdana"/>
          <w:sz w:val="20"/>
          <w:szCs w:val="20"/>
        </w:rPr>
        <w:t>06</w:t>
      </w:r>
      <w:r w:rsidRPr="001C6CAB">
        <w:rPr>
          <w:rFonts w:ascii="Verdana" w:hAnsi="Verdana"/>
          <w:sz w:val="20"/>
          <w:szCs w:val="20"/>
        </w:rPr>
        <w:t>.</w:t>
      </w:r>
    </w:p>
    <w:p w14:paraId="49C86B2A" w14:textId="580793F0" w:rsidR="002B3025" w:rsidRDefault="002B3025" w:rsidP="00B929BB">
      <w:pPr>
        <w:tabs>
          <w:tab w:val="left" w:pos="540"/>
        </w:tabs>
        <w:jc w:val="both"/>
        <w:rPr>
          <w:rFonts w:ascii="Verdana" w:hAnsi="Verdana" w:cs="Arial"/>
          <w:bCs/>
          <w:sz w:val="20"/>
          <w:szCs w:val="20"/>
        </w:rPr>
      </w:pPr>
      <w:r w:rsidRPr="002B3025">
        <w:rPr>
          <w:rFonts w:ascii="Verdana" w:hAnsi="Verdana" w:cs="Arial"/>
          <w:bCs/>
          <w:sz w:val="20"/>
          <w:szCs w:val="20"/>
        </w:rPr>
        <w:t xml:space="preserve">También se deben incluir los países donde se podrían presentar, en el corto plazo, restricciones a las transacciones financieras internacionales sobre utilidades y/o retrasos en el pago de las obligaciones financieras en el exterior, así como verse afectado el valor </w:t>
      </w:r>
      <w:r w:rsidRPr="002B3025">
        <w:rPr>
          <w:rFonts w:ascii="Verdana" w:hAnsi="Verdana" w:cs="Arial"/>
          <w:bCs/>
          <w:sz w:val="20"/>
          <w:szCs w:val="20"/>
        </w:rPr>
        <w:lastRenderedPageBreak/>
        <w:t>de la inversión y/o la disponibilidad de las utilidades y/o existen intervenciones intermitentes en el mercado cambiario.</w:t>
      </w:r>
    </w:p>
    <w:p w14:paraId="0587461C" w14:textId="7B63A76D" w:rsidR="002B3025" w:rsidRPr="00FC4CA5" w:rsidRDefault="002B3025" w:rsidP="00551D66">
      <w:pPr>
        <w:pStyle w:val="Prrafodelista"/>
        <w:numPr>
          <w:ilvl w:val="0"/>
          <w:numId w:val="39"/>
        </w:numPr>
        <w:tabs>
          <w:tab w:val="left" w:pos="540"/>
        </w:tabs>
        <w:spacing w:after="0" w:line="240" w:lineRule="auto"/>
        <w:ind w:left="284" w:hanging="284"/>
        <w:jc w:val="both"/>
        <w:rPr>
          <w:rFonts w:ascii="Verdana" w:hAnsi="Verdana" w:cs="Arial"/>
          <w:b/>
          <w:sz w:val="20"/>
          <w:szCs w:val="20"/>
        </w:rPr>
      </w:pPr>
      <w:r w:rsidRPr="00FC4CA5">
        <w:rPr>
          <w:rFonts w:ascii="Verdana" w:hAnsi="Verdana" w:cs="Arial"/>
          <w:b/>
          <w:sz w:val="20"/>
          <w:szCs w:val="20"/>
        </w:rPr>
        <w:t>Categoría D</w:t>
      </w:r>
    </w:p>
    <w:p w14:paraId="5AD27777" w14:textId="77777777" w:rsidR="00FC4CA5" w:rsidRPr="00FC4CA5" w:rsidRDefault="00FC4CA5" w:rsidP="00FC4CA5">
      <w:pPr>
        <w:tabs>
          <w:tab w:val="left" w:pos="540"/>
        </w:tabs>
        <w:spacing w:after="0" w:line="240" w:lineRule="auto"/>
        <w:jc w:val="both"/>
        <w:rPr>
          <w:rFonts w:ascii="Verdana" w:hAnsi="Verdana" w:cs="Arial"/>
          <w:b/>
          <w:sz w:val="20"/>
          <w:szCs w:val="20"/>
        </w:rPr>
      </w:pPr>
    </w:p>
    <w:p w14:paraId="400BCFD8" w14:textId="793809DE" w:rsidR="00013853" w:rsidRPr="001C6CAB" w:rsidRDefault="00013853" w:rsidP="00013853">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102BFC">
        <w:rPr>
          <w:rFonts w:ascii="Verdana" w:hAnsi="Verdana"/>
          <w:sz w:val="20"/>
          <w:szCs w:val="20"/>
        </w:rPr>
        <w:t>07</w:t>
      </w:r>
      <w:r w:rsidRPr="001C6CAB">
        <w:rPr>
          <w:rFonts w:ascii="Verdana" w:hAnsi="Verdana"/>
          <w:sz w:val="20"/>
          <w:szCs w:val="20"/>
        </w:rPr>
        <w:t>.</w:t>
      </w:r>
    </w:p>
    <w:p w14:paraId="31994197" w14:textId="69944B97" w:rsidR="002B3025" w:rsidRDefault="002B3025" w:rsidP="00B929BB">
      <w:pPr>
        <w:tabs>
          <w:tab w:val="left" w:pos="540"/>
        </w:tabs>
        <w:jc w:val="both"/>
        <w:rPr>
          <w:rFonts w:ascii="Verdana" w:hAnsi="Verdana" w:cs="Arial"/>
          <w:bCs/>
          <w:sz w:val="20"/>
          <w:szCs w:val="20"/>
        </w:rPr>
      </w:pPr>
      <w:r w:rsidRPr="002B3025">
        <w:rPr>
          <w:rFonts w:ascii="Verdana" w:hAnsi="Verdana" w:cs="Arial"/>
          <w:bCs/>
          <w:sz w:val="20"/>
          <w:szCs w:val="20"/>
        </w:rPr>
        <w:t xml:space="preserve">Se incluyen en esta categoría los países en donde los factores de evaluación </w:t>
      </w:r>
      <w:r w:rsidR="00C36448">
        <w:rPr>
          <w:rFonts w:ascii="Verdana" w:hAnsi="Verdana" w:cs="Arial"/>
          <w:bCs/>
          <w:sz w:val="20"/>
          <w:szCs w:val="20"/>
        </w:rPr>
        <w:t>señalados entre los párrafos 1.1.2.206. y 1.1.2.</w:t>
      </w:r>
      <w:r w:rsidR="00C36448" w:rsidRPr="00366D7A">
        <w:rPr>
          <w:rFonts w:ascii="Verdana" w:hAnsi="Verdana" w:cs="Arial"/>
          <w:bCs/>
          <w:sz w:val="20"/>
          <w:szCs w:val="20"/>
        </w:rPr>
        <w:t>216.</w:t>
      </w:r>
      <w:r w:rsidRPr="002B3025">
        <w:rPr>
          <w:rFonts w:ascii="Verdana" w:hAnsi="Verdana" w:cs="Arial"/>
          <w:bCs/>
          <w:sz w:val="20"/>
          <w:szCs w:val="20"/>
        </w:rPr>
        <w:t xml:space="preserve"> evidencian un deterioro significativo y existen dudas razonables en cuanto el país logre mantener en el corto plazo su equilibrio macroeconómico.</w:t>
      </w:r>
    </w:p>
    <w:p w14:paraId="1C75F51E" w14:textId="6391A8FA" w:rsidR="00013853" w:rsidRPr="001C6CAB" w:rsidRDefault="00013853" w:rsidP="00013853">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102BFC">
        <w:rPr>
          <w:rFonts w:ascii="Verdana" w:hAnsi="Verdana"/>
          <w:sz w:val="20"/>
          <w:szCs w:val="20"/>
        </w:rPr>
        <w:t>08</w:t>
      </w:r>
      <w:r w:rsidRPr="001C6CAB">
        <w:rPr>
          <w:rFonts w:ascii="Verdana" w:hAnsi="Verdana"/>
          <w:sz w:val="20"/>
          <w:szCs w:val="20"/>
        </w:rPr>
        <w:t>.</w:t>
      </w:r>
    </w:p>
    <w:p w14:paraId="5089188F" w14:textId="77777777" w:rsidR="002B3025" w:rsidRDefault="002B3025" w:rsidP="12B437D6">
      <w:pPr>
        <w:tabs>
          <w:tab w:val="left" w:pos="540"/>
        </w:tabs>
        <w:jc w:val="both"/>
        <w:rPr>
          <w:rFonts w:ascii="Verdana" w:hAnsi="Verdana" w:cs="Arial"/>
          <w:sz w:val="20"/>
          <w:szCs w:val="20"/>
        </w:rPr>
      </w:pPr>
      <w:r w:rsidRPr="12B437D6">
        <w:rPr>
          <w:rFonts w:ascii="Verdana" w:hAnsi="Verdana" w:cs="Arial"/>
          <w:sz w:val="20"/>
          <w:szCs w:val="20"/>
        </w:rPr>
        <w:t>En esta categoría también deben ser clasificados aquellos países que, durante el último año, presentan de manera consistente una inflación anual superior al 20%; o su relación Deuda Total/PIB sea mayor al 100% durante el último año, en que se realizó el análisis.</w:t>
      </w:r>
    </w:p>
    <w:p w14:paraId="413E34A8" w14:textId="09825F60" w:rsidR="00013853" w:rsidRPr="001C6CAB" w:rsidRDefault="00013853" w:rsidP="00013853">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102BFC">
        <w:rPr>
          <w:rFonts w:ascii="Verdana" w:hAnsi="Verdana"/>
          <w:sz w:val="20"/>
          <w:szCs w:val="20"/>
        </w:rPr>
        <w:t>09</w:t>
      </w:r>
      <w:r w:rsidRPr="001C6CAB">
        <w:rPr>
          <w:rFonts w:ascii="Verdana" w:hAnsi="Verdana"/>
          <w:sz w:val="20"/>
          <w:szCs w:val="20"/>
        </w:rPr>
        <w:t>.</w:t>
      </w:r>
    </w:p>
    <w:p w14:paraId="697EA34B" w14:textId="4CC59E84" w:rsidR="002B3025" w:rsidRPr="002B3025" w:rsidRDefault="002B3025" w:rsidP="12B437D6">
      <w:pPr>
        <w:tabs>
          <w:tab w:val="left" w:pos="540"/>
        </w:tabs>
        <w:jc w:val="both"/>
        <w:rPr>
          <w:rFonts w:ascii="Verdana" w:hAnsi="Verdana" w:cs="Arial"/>
          <w:sz w:val="20"/>
          <w:szCs w:val="20"/>
        </w:rPr>
      </w:pPr>
      <w:r w:rsidRPr="12B437D6">
        <w:rPr>
          <w:rFonts w:ascii="Verdana" w:hAnsi="Verdana" w:cs="Arial"/>
          <w:sz w:val="20"/>
          <w:szCs w:val="20"/>
        </w:rPr>
        <w:t>De igual manera, se clasifican en esta categoría aquellos países en los que se encuentre comprometido el pago de sus obligaciones con el exterior y/o existen restricciones a las transacciones financieras internacionales sobre utilidades y/o en los últimos 2 años se presentaron reprogramación o suspensión de pagos de sus obligaciones con el exterior. Finalmente, se deben clasificar en esta categoría a aquellos países en los que no exista suficiente información disponible para que la entidad pueda realizar un análisis adecuado del riesgo país.</w:t>
      </w:r>
    </w:p>
    <w:p w14:paraId="3D4E1A9F" w14:textId="52F07DFF" w:rsidR="002B3025" w:rsidRDefault="002B3025" w:rsidP="00551D66">
      <w:pPr>
        <w:pStyle w:val="Prrafodelista"/>
        <w:numPr>
          <w:ilvl w:val="0"/>
          <w:numId w:val="39"/>
        </w:numPr>
        <w:tabs>
          <w:tab w:val="left" w:pos="540"/>
        </w:tabs>
        <w:spacing w:after="0" w:line="240" w:lineRule="auto"/>
        <w:ind w:left="284" w:hanging="284"/>
        <w:jc w:val="both"/>
        <w:rPr>
          <w:rFonts w:ascii="Verdana" w:hAnsi="Verdana" w:cs="Arial"/>
          <w:b/>
          <w:sz w:val="20"/>
          <w:szCs w:val="20"/>
        </w:rPr>
      </w:pPr>
      <w:r w:rsidRPr="00FC4CA5">
        <w:rPr>
          <w:rFonts w:ascii="Verdana" w:hAnsi="Verdana" w:cs="Arial"/>
          <w:b/>
          <w:sz w:val="20"/>
          <w:szCs w:val="20"/>
        </w:rPr>
        <w:t>Categoría E</w:t>
      </w:r>
    </w:p>
    <w:p w14:paraId="7DB15FCD" w14:textId="77777777" w:rsidR="00FC4CA5" w:rsidRPr="00FC4CA5" w:rsidRDefault="00FC4CA5" w:rsidP="00FC4CA5">
      <w:pPr>
        <w:pStyle w:val="Prrafodelista"/>
        <w:tabs>
          <w:tab w:val="left" w:pos="540"/>
        </w:tabs>
        <w:spacing w:after="0" w:line="240" w:lineRule="auto"/>
        <w:ind w:left="284"/>
        <w:jc w:val="both"/>
        <w:rPr>
          <w:rFonts w:ascii="Verdana" w:hAnsi="Verdana" w:cs="Arial"/>
          <w:b/>
          <w:sz w:val="20"/>
          <w:szCs w:val="20"/>
        </w:rPr>
      </w:pPr>
    </w:p>
    <w:p w14:paraId="0FC6B8C2" w14:textId="166BED7C" w:rsidR="00013853" w:rsidRPr="001C6CAB" w:rsidRDefault="00013853" w:rsidP="00013853">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102BFC">
        <w:rPr>
          <w:rFonts w:ascii="Verdana" w:hAnsi="Verdana"/>
          <w:sz w:val="20"/>
          <w:szCs w:val="20"/>
        </w:rPr>
        <w:t>10</w:t>
      </w:r>
      <w:r w:rsidRPr="001C6CAB">
        <w:rPr>
          <w:rFonts w:ascii="Verdana" w:hAnsi="Verdana"/>
          <w:sz w:val="20"/>
          <w:szCs w:val="20"/>
        </w:rPr>
        <w:t>.</w:t>
      </w:r>
    </w:p>
    <w:p w14:paraId="78601E19" w14:textId="77777777" w:rsidR="002B3025" w:rsidRPr="002B3025" w:rsidRDefault="002B3025" w:rsidP="12B437D6">
      <w:pPr>
        <w:tabs>
          <w:tab w:val="left" w:pos="540"/>
        </w:tabs>
        <w:jc w:val="both"/>
        <w:rPr>
          <w:rFonts w:ascii="Verdana" w:hAnsi="Verdana" w:cs="Arial"/>
          <w:sz w:val="20"/>
          <w:szCs w:val="20"/>
        </w:rPr>
      </w:pPr>
      <w:r w:rsidRPr="12B437D6">
        <w:rPr>
          <w:rFonts w:ascii="Verdana" w:hAnsi="Verdana" w:cs="Arial"/>
          <w:sz w:val="20"/>
          <w:szCs w:val="20"/>
        </w:rPr>
        <w:t>Países en los que las operaciones financieras realizadas por la entidad se consideran como irrecuperables a causa de su grave situación económica, financiera y/o sociopolítica.</w:t>
      </w:r>
    </w:p>
    <w:p w14:paraId="534B99CA" w14:textId="3941CABB" w:rsidR="00013853" w:rsidRPr="001C6CAB" w:rsidRDefault="00013853" w:rsidP="00013853">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102BFC">
        <w:rPr>
          <w:rFonts w:ascii="Verdana" w:hAnsi="Verdana"/>
          <w:sz w:val="20"/>
          <w:szCs w:val="20"/>
        </w:rPr>
        <w:t>11</w:t>
      </w:r>
      <w:r w:rsidRPr="001C6CAB">
        <w:rPr>
          <w:rFonts w:ascii="Verdana" w:hAnsi="Verdana"/>
          <w:sz w:val="20"/>
          <w:szCs w:val="20"/>
        </w:rPr>
        <w:t>.</w:t>
      </w:r>
    </w:p>
    <w:p w14:paraId="57775D2C" w14:textId="5EF7DFE8" w:rsidR="00013853" w:rsidRPr="00FC4CA5" w:rsidRDefault="002B3025" w:rsidP="00FC4CA5">
      <w:pPr>
        <w:autoSpaceDE w:val="0"/>
        <w:autoSpaceDN w:val="0"/>
        <w:adjustRightInd w:val="0"/>
        <w:jc w:val="both"/>
        <w:rPr>
          <w:rFonts w:ascii="Verdana" w:hAnsi="Verdana" w:cs="Arial"/>
          <w:sz w:val="20"/>
          <w:szCs w:val="20"/>
        </w:rPr>
      </w:pPr>
      <w:r w:rsidRPr="12B437D6">
        <w:rPr>
          <w:rFonts w:ascii="Verdana" w:hAnsi="Verdana" w:cs="Arial"/>
          <w:sz w:val="20"/>
          <w:szCs w:val="20"/>
        </w:rPr>
        <w:t xml:space="preserve">Cuando se presenten factores diferentes a los mencionados en los </w:t>
      </w:r>
      <w:r w:rsidR="009010B7">
        <w:rPr>
          <w:rFonts w:ascii="Verdana" w:hAnsi="Verdana" w:cs="Arial"/>
          <w:sz w:val="20"/>
          <w:szCs w:val="20"/>
        </w:rPr>
        <w:t>párrafos 1.1.3.</w:t>
      </w:r>
      <w:r w:rsidR="001C220F">
        <w:rPr>
          <w:rFonts w:ascii="Verdana" w:hAnsi="Verdana" w:cs="Arial"/>
          <w:sz w:val="20"/>
          <w:szCs w:val="20"/>
        </w:rPr>
        <w:t>202</w:t>
      </w:r>
      <w:r w:rsidR="009010B7">
        <w:rPr>
          <w:rFonts w:ascii="Verdana" w:hAnsi="Verdana" w:cs="Arial"/>
          <w:sz w:val="20"/>
          <w:szCs w:val="20"/>
        </w:rPr>
        <w:t xml:space="preserve"> y 1.1.3.</w:t>
      </w:r>
      <w:r w:rsidR="001C220F">
        <w:rPr>
          <w:rFonts w:ascii="Verdana" w:hAnsi="Verdana" w:cs="Arial"/>
          <w:sz w:val="20"/>
          <w:szCs w:val="20"/>
        </w:rPr>
        <w:t>210</w:t>
      </w:r>
      <w:r w:rsidR="001456A8">
        <w:rPr>
          <w:rFonts w:ascii="Verdana" w:hAnsi="Verdana" w:cs="Arial"/>
          <w:sz w:val="20"/>
          <w:szCs w:val="20"/>
        </w:rPr>
        <w:t xml:space="preserve"> </w:t>
      </w:r>
      <w:r w:rsidRPr="12B437D6">
        <w:rPr>
          <w:rFonts w:ascii="Verdana" w:hAnsi="Verdana" w:cs="Arial"/>
          <w:sz w:val="20"/>
          <w:szCs w:val="20"/>
        </w:rPr>
        <w:t>que afecten de manera importante al país evaluado y como consecuencia se pueda ver afectado el valor de la inversión, la entidad debe reclasificar al país evaluado en una categoría inferior, es decir, una de mayor riesgo a la categorización previa realizada</w:t>
      </w:r>
      <w:r w:rsidR="00FC4CA5">
        <w:rPr>
          <w:rFonts w:ascii="Verdana" w:hAnsi="Verdana" w:cs="Arial"/>
          <w:sz w:val="20"/>
          <w:szCs w:val="20"/>
        </w:rPr>
        <w:t>.</w:t>
      </w:r>
    </w:p>
    <w:p w14:paraId="58D5B4DA" w14:textId="5896AE56" w:rsidR="002B3025" w:rsidRDefault="002B3025" w:rsidP="00FC4CA5">
      <w:pPr>
        <w:tabs>
          <w:tab w:val="left" w:pos="0"/>
        </w:tabs>
        <w:spacing w:after="0" w:line="240" w:lineRule="auto"/>
        <w:jc w:val="both"/>
        <w:rPr>
          <w:rFonts w:ascii="Verdana" w:hAnsi="Verdana" w:cs="Arial"/>
          <w:b/>
          <w:sz w:val="20"/>
          <w:szCs w:val="20"/>
        </w:rPr>
      </w:pPr>
      <w:r w:rsidRPr="00013853">
        <w:rPr>
          <w:rFonts w:ascii="Verdana" w:hAnsi="Verdana" w:cs="Arial"/>
          <w:b/>
          <w:sz w:val="20"/>
          <w:szCs w:val="20"/>
        </w:rPr>
        <w:t>Ajuste por deterioro del valor de la inversión</w:t>
      </w:r>
    </w:p>
    <w:p w14:paraId="63284AB7" w14:textId="77777777" w:rsidR="00FC4CA5" w:rsidRPr="00FC4CA5" w:rsidRDefault="00FC4CA5" w:rsidP="00FC4CA5">
      <w:pPr>
        <w:tabs>
          <w:tab w:val="left" w:pos="0"/>
        </w:tabs>
        <w:spacing w:after="0" w:line="240" w:lineRule="auto"/>
        <w:jc w:val="both"/>
        <w:rPr>
          <w:rFonts w:ascii="Verdana" w:hAnsi="Verdana" w:cs="Arial"/>
          <w:b/>
          <w:sz w:val="20"/>
          <w:szCs w:val="20"/>
        </w:rPr>
      </w:pPr>
    </w:p>
    <w:p w14:paraId="52BE470A" w14:textId="3AE62E7D" w:rsidR="00013853" w:rsidRPr="001C6CAB" w:rsidRDefault="00013853" w:rsidP="00013853">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102BFC">
        <w:rPr>
          <w:rFonts w:ascii="Verdana" w:hAnsi="Verdana"/>
          <w:sz w:val="20"/>
          <w:szCs w:val="20"/>
        </w:rPr>
        <w:t>12</w:t>
      </w:r>
      <w:r w:rsidRPr="001C6CAB">
        <w:rPr>
          <w:rFonts w:ascii="Verdana" w:hAnsi="Verdana"/>
          <w:sz w:val="20"/>
          <w:szCs w:val="20"/>
        </w:rPr>
        <w:t>.</w:t>
      </w:r>
    </w:p>
    <w:p w14:paraId="1987E9F0" w14:textId="7E92A3E8" w:rsidR="002B3025" w:rsidRPr="002B3025" w:rsidRDefault="002B3025" w:rsidP="00B929BB">
      <w:pPr>
        <w:autoSpaceDE w:val="0"/>
        <w:autoSpaceDN w:val="0"/>
        <w:adjustRightInd w:val="0"/>
        <w:jc w:val="both"/>
        <w:rPr>
          <w:rFonts w:ascii="Verdana" w:hAnsi="Verdana" w:cs="Arial"/>
          <w:bCs/>
          <w:sz w:val="20"/>
          <w:szCs w:val="20"/>
        </w:rPr>
      </w:pPr>
      <w:r w:rsidRPr="002B3025">
        <w:rPr>
          <w:rFonts w:ascii="Verdana" w:hAnsi="Verdana" w:cs="Arial"/>
          <w:bCs/>
          <w:sz w:val="20"/>
          <w:szCs w:val="20"/>
        </w:rPr>
        <w:t xml:space="preserve">La entidad debe ajustar el valor de la </w:t>
      </w:r>
      <w:r w:rsidRPr="008C409B">
        <w:rPr>
          <w:rFonts w:ascii="Verdana" w:hAnsi="Verdana" w:cs="Arial"/>
          <w:bCs/>
          <w:sz w:val="20"/>
          <w:szCs w:val="20"/>
        </w:rPr>
        <w:t xml:space="preserve">inversión </w:t>
      </w:r>
      <w:r w:rsidR="00FA6D41">
        <w:rPr>
          <w:rFonts w:ascii="Verdana" w:hAnsi="Verdana" w:cs="Arial"/>
          <w:bCs/>
          <w:sz w:val="20"/>
          <w:szCs w:val="20"/>
        </w:rPr>
        <w:t xml:space="preserve">por riesgo país </w:t>
      </w:r>
      <w:r w:rsidRPr="008C409B">
        <w:rPr>
          <w:rFonts w:ascii="Verdana" w:hAnsi="Verdana" w:cs="Arial"/>
          <w:bCs/>
          <w:sz w:val="20"/>
          <w:szCs w:val="20"/>
        </w:rPr>
        <w:t xml:space="preserve">de acuerdo con la calificación obtenida </w:t>
      </w:r>
      <w:r w:rsidR="008C409B" w:rsidRPr="008C409B">
        <w:rPr>
          <w:rFonts w:ascii="Verdana" w:hAnsi="Verdana" w:cs="Arial"/>
          <w:bCs/>
          <w:sz w:val="20"/>
          <w:szCs w:val="20"/>
        </w:rPr>
        <w:t>según las anteriores i</w:t>
      </w:r>
      <w:r w:rsidR="008C409B">
        <w:rPr>
          <w:rFonts w:ascii="Verdana" w:hAnsi="Verdana" w:cs="Arial"/>
          <w:bCs/>
          <w:sz w:val="20"/>
          <w:szCs w:val="20"/>
        </w:rPr>
        <w:t>nstrucciones,</w:t>
      </w:r>
      <w:r w:rsidRPr="002B3025">
        <w:rPr>
          <w:rFonts w:ascii="Verdana" w:hAnsi="Verdana" w:cs="Arial"/>
          <w:bCs/>
          <w:sz w:val="20"/>
          <w:szCs w:val="20"/>
        </w:rPr>
        <w:t xml:space="preserve"> teniendo en cuenta las siguientes </w:t>
      </w:r>
      <w:r w:rsidR="00E4009E">
        <w:rPr>
          <w:rFonts w:ascii="Verdana" w:hAnsi="Verdana" w:cs="Arial"/>
          <w:bCs/>
          <w:sz w:val="20"/>
          <w:szCs w:val="20"/>
        </w:rPr>
        <w:t>reglas</w:t>
      </w:r>
      <w:r w:rsidRPr="002B3025">
        <w:rPr>
          <w:rFonts w:ascii="Verdana" w:hAnsi="Verdana" w:cs="Arial"/>
          <w:bCs/>
          <w:sz w:val="20"/>
          <w:szCs w:val="20"/>
        </w:rPr>
        <w:t>:</w:t>
      </w:r>
    </w:p>
    <w:p w14:paraId="6E9A20A0" w14:textId="0E8EB004" w:rsidR="002B3025" w:rsidRPr="002F3DB7" w:rsidRDefault="002B3025" w:rsidP="00551D66">
      <w:pPr>
        <w:pStyle w:val="Prrafodelista"/>
        <w:numPr>
          <w:ilvl w:val="0"/>
          <w:numId w:val="35"/>
        </w:numPr>
        <w:autoSpaceDE w:val="0"/>
        <w:autoSpaceDN w:val="0"/>
        <w:adjustRightInd w:val="0"/>
        <w:spacing w:after="0" w:line="240" w:lineRule="auto"/>
        <w:ind w:left="567" w:hanging="567"/>
        <w:jc w:val="both"/>
        <w:rPr>
          <w:rFonts w:ascii="Verdana" w:hAnsi="Verdana" w:cs="Arial"/>
          <w:bCs/>
          <w:sz w:val="20"/>
          <w:szCs w:val="20"/>
        </w:rPr>
      </w:pPr>
      <w:r w:rsidRPr="002F3DB7">
        <w:rPr>
          <w:rFonts w:ascii="Verdana" w:hAnsi="Verdana" w:cs="Arial"/>
          <w:bCs/>
          <w:sz w:val="20"/>
          <w:szCs w:val="20"/>
        </w:rPr>
        <w:t xml:space="preserve">Cuando el país donde está domiciliada la operación financiera esté clasificado en </w:t>
      </w:r>
      <w:r w:rsidR="00BB0D2C">
        <w:rPr>
          <w:rFonts w:ascii="Verdana" w:hAnsi="Verdana" w:cs="Arial"/>
          <w:bCs/>
          <w:sz w:val="20"/>
          <w:szCs w:val="20"/>
        </w:rPr>
        <w:t>c</w:t>
      </w:r>
      <w:r w:rsidRPr="002F3DB7">
        <w:rPr>
          <w:rFonts w:ascii="Verdana" w:hAnsi="Verdana" w:cs="Arial"/>
          <w:bCs/>
          <w:sz w:val="20"/>
          <w:szCs w:val="20"/>
        </w:rPr>
        <w:t>ategoría A, la entidad puede mantener un ajuste por deterioro de la inversión de 0% sobre la totalidad de los recursos exp</w:t>
      </w:r>
      <w:r w:rsidR="00890BF9">
        <w:rPr>
          <w:rFonts w:ascii="Verdana" w:hAnsi="Verdana" w:cs="Arial"/>
          <w:bCs/>
          <w:sz w:val="20"/>
          <w:szCs w:val="20"/>
        </w:rPr>
        <w:t>uestos</w:t>
      </w:r>
      <w:r w:rsidRPr="002F3DB7">
        <w:rPr>
          <w:rFonts w:ascii="Verdana" w:hAnsi="Verdana" w:cs="Arial"/>
          <w:bCs/>
          <w:sz w:val="20"/>
          <w:szCs w:val="20"/>
        </w:rPr>
        <w:t xml:space="preserve"> por riesgo país.</w:t>
      </w:r>
    </w:p>
    <w:p w14:paraId="32DF3CB4" w14:textId="77777777" w:rsidR="00013853" w:rsidRDefault="00013853" w:rsidP="002F3DB7">
      <w:pPr>
        <w:pStyle w:val="Prrafodelista"/>
        <w:autoSpaceDE w:val="0"/>
        <w:autoSpaceDN w:val="0"/>
        <w:adjustRightInd w:val="0"/>
        <w:spacing w:after="0" w:line="240" w:lineRule="auto"/>
        <w:ind w:left="567" w:hanging="567"/>
        <w:jc w:val="both"/>
        <w:rPr>
          <w:rFonts w:ascii="Verdana" w:hAnsi="Verdana" w:cs="Arial"/>
          <w:bCs/>
          <w:sz w:val="20"/>
          <w:szCs w:val="20"/>
        </w:rPr>
      </w:pPr>
    </w:p>
    <w:p w14:paraId="74364678" w14:textId="04CB8960" w:rsidR="002B3025" w:rsidRPr="002F3DB7" w:rsidRDefault="002B3025" w:rsidP="00551D66">
      <w:pPr>
        <w:pStyle w:val="Prrafodelista"/>
        <w:numPr>
          <w:ilvl w:val="0"/>
          <w:numId w:val="35"/>
        </w:numPr>
        <w:autoSpaceDE w:val="0"/>
        <w:autoSpaceDN w:val="0"/>
        <w:adjustRightInd w:val="0"/>
        <w:spacing w:after="0" w:line="240" w:lineRule="auto"/>
        <w:ind w:left="567" w:hanging="567"/>
        <w:jc w:val="both"/>
        <w:rPr>
          <w:rFonts w:ascii="Verdana" w:hAnsi="Verdana" w:cs="Arial"/>
          <w:bCs/>
          <w:sz w:val="20"/>
          <w:szCs w:val="20"/>
        </w:rPr>
      </w:pPr>
      <w:r w:rsidRPr="002F3DB7">
        <w:rPr>
          <w:rFonts w:ascii="Verdana" w:hAnsi="Verdana" w:cs="Arial"/>
          <w:bCs/>
          <w:sz w:val="20"/>
          <w:szCs w:val="20"/>
        </w:rPr>
        <w:t xml:space="preserve">Cuando el país donde está domiciliada la operación financiera esté clasificado en las </w:t>
      </w:r>
      <w:r w:rsidR="00BB0D2C">
        <w:rPr>
          <w:rFonts w:ascii="Verdana" w:hAnsi="Verdana" w:cs="Arial"/>
          <w:bCs/>
          <w:sz w:val="20"/>
          <w:szCs w:val="20"/>
        </w:rPr>
        <w:t>c</w:t>
      </w:r>
      <w:r w:rsidRPr="002F3DB7">
        <w:rPr>
          <w:rFonts w:ascii="Verdana" w:hAnsi="Verdana" w:cs="Arial"/>
          <w:bCs/>
          <w:sz w:val="20"/>
          <w:szCs w:val="20"/>
        </w:rPr>
        <w:t xml:space="preserve">ategorías B, C y D, la entidad debe realizar el ajuste por deterioro del valor de la inversión </w:t>
      </w:r>
      <w:r w:rsidR="00890BF9">
        <w:rPr>
          <w:rFonts w:ascii="Verdana" w:hAnsi="Verdana" w:cs="Arial"/>
          <w:bCs/>
          <w:sz w:val="20"/>
          <w:szCs w:val="20"/>
        </w:rPr>
        <w:t xml:space="preserve">por riesgo país </w:t>
      </w:r>
      <w:r w:rsidRPr="002F3DB7">
        <w:rPr>
          <w:rFonts w:ascii="Verdana" w:hAnsi="Verdana" w:cs="Arial"/>
          <w:bCs/>
          <w:sz w:val="20"/>
          <w:szCs w:val="20"/>
        </w:rPr>
        <w:t xml:space="preserve">que corresponda a la categoría de riesgo, de acuerdo con los porcentajes que haya definido previamente en su modelo de medición. </w:t>
      </w:r>
    </w:p>
    <w:p w14:paraId="2A6E46F7" w14:textId="77777777" w:rsidR="00274269" w:rsidRDefault="00274269" w:rsidP="00274269">
      <w:pPr>
        <w:pStyle w:val="Prrafodelista"/>
        <w:ind w:left="567"/>
        <w:jc w:val="both"/>
        <w:rPr>
          <w:rFonts w:ascii="Verdana" w:eastAsia="Calibri" w:hAnsi="Verdana" w:cs="Arial"/>
          <w:bCs/>
          <w:sz w:val="20"/>
          <w:szCs w:val="20"/>
        </w:rPr>
      </w:pPr>
    </w:p>
    <w:p w14:paraId="1A161C21" w14:textId="7647D395" w:rsidR="002B3025" w:rsidRDefault="002B3025" w:rsidP="00551D66">
      <w:pPr>
        <w:pStyle w:val="Prrafodelista"/>
        <w:numPr>
          <w:ilvl w:val="0"/>
          <w:numId w:val="35"/>
        </w:numPr>
        <w:ind w:left="567" w:hanging="567"/>
        <w:jc w:val="both"/>
        <w:rPr>
          <w:rFonts w:ascii="Verdana" w:eastAsia="Calibri" w:hAnsi="Verdana" w:cs="Arial"/>
          <w:sz w:val="20"/>
          <w:szCs w:val="20"/>
        </w:rPr>
      </w:pPr>
      <w:r w:rsidRPr="12B437D6">
        <w:rPr>
          <w:rFonts w:ascii="Verdana" w:eastAsia="Calibri" w:hAnsi="Verdana" w:cs="Arial"/>
          <w:sz w:val="20"/>
          <w:szCs w:val="20"/>
        </w:rPr>
        <w:t xml:space="preserve">Los porcentajes que definan las entidades para realizar el ajuste por deterioro de la inversión </w:t>
      </w:r>
      <w:r w:rsidR="00E22AB6">
        <w:rPr>
          <w:rFonts w:ascii="Verdana" w:eastAsia="Calibri" w:hAnsi="Verdana" w:cs="Arial"/>
          <w:sz w:val="20"/>
          <w:szCs w:val="20"/>
        </w:rPr>
        <w:t xml:space="preserve">por riesgo país </w:t>
      </w:r>
      <w:r w:rsidRPr="12B437D6">
        <w:rPr>
          <w:rFonts w:ascii="Verdana" w:eastAsia="Calibri" w:hAnsi="Verdana" w:cs="Arial"/>
          <w:sz w:val="20"/>
          <w:szCs w:val="20"/>
        </w:rPr>
        <w:t xml:space="preserve">en las categorías B, C y D deben ser consistentes con el mayor nivel de riesgo de tal forma que los cambios en las categorías de riesgo país, no impacten de manera significativa el estado de resultados ni el patrimonio de la entidad vigilada. </w:t>
      </w:r>
    </w:p>
    <w:p w14:paraId="01383390" w14:textId="77777777" w:rsidR="00274269" w:rsidRPr="00274269" w:rsidRDefault="00274269" w:rsidP="00274269">
      <w:pPr>
        <w:pStyle w:val="Prrafodelista"/>
        <w:rPr>
          <w:rFonts w:ascii="Verdana" w:eastAsia="Calibri" w:hAnsi="Verdana" w:cs="Arial"/>
          <w:bCs/>
          <w:sz w:val="20"/>
          <w:szCs w:val="20"/>
        </w:rPr>
      </w:pPr>
    </w:p>
    <w:p w14:paraId="57E1AC2E" w14:textId="688D2943" w:rsidR="002B3025" w:rsidRDefault="002B3025" w:rsidP="00551D66">
      <w:pPr>
        <w:pStyle w:val="Prrafodelista"/>
        <w:numPr>
          <w:ilvl w:val="0"/>
          <w:numId w:val="35"/>
        </w:numPr>
        <w:autoSpaceDE w:val="0"/>
        <w:autoSpaceDN w:val="0"/>
        <w:adjustRightInd w:val="0"/>
        <w:spacing w:after="0" w:line="240" w:lineRule="auto"/>
        <w:ind w:left="567" w:hanging="567"/>
        <w:jc w:val="both"/>
        <w:rPr>
          <w:rFonts w:ascii="Verdana" w:hAnsi="Verdana" w:cs="Arial"/>
          <w:sz w:val="20"/>
          <w:szCs w:val="20"/>
        </w:rPr>
      </w:pPr>
      <w:r w:rsidRPr="12B437D6">
        <w:rPr>
          <w:rFonts w:ascii="Verdana" w:hAnsi="Verdana" w:cs="Arial"/>
          <w:sz w:val="20"/>
          <w:szCs w:val="20"/>
        </w:rPr>
        <w:t xml:space="preserve">Cuando el país donde está domiciliada la operación financiera esté clasificado en </w:t>
      </w:r>
      <w:r w:rsidR="00174562">
        <w:rPr>
          <w:rFonts w:ascii="Verdana" w:hAnsi="Verdana" w:cs="Arial"/>
          <w:sz w:val="20"/>
          <w:szCs w:val="20"/>
        </w:rPr>
        <w:t>c</w:t>
      </w:r>
      <w:r w:rsidRPr="12B437D6">
        <w:rPr>
          <w:rFonts w:ascii="Verdana" w:hAnsi="Verdana" w:cs="Arial"/>
          <w:sz w:val="20"/>
          <w:szCs w:val="20"/>
        </w:rPr>
        <w:t>ategoría E, la entidad debe realizar un ajuste por deterioro de la inversión del 100% sobre la totalidad de los recursos e</w:t>
      </w:r>
      <w:r w:rsidR="00E22AB6">
        <w:rPr>
          <w:rFonts w:ascii="Verdana" w:hAnsi="Verdana" w:cs="Arial"/>
          <w:sz w:val="20"/>
          <w:szCs w:val="20"/>
        </w:rPr>
        <w:t xml:space="preserve">xpuestos </w:t>
      </w:r>
      <w:r w:rsidRPr="12B437D6">
        <w:rPr>
          <w:rFonts w:ascii="Verdana" w:hAnsi="Verdana" w:cs="Arial"/>
          <w:sz w:val="20"/>
          <w:szCs w:val="20"/>
        </w:rPr>
        <w:t xml:space="preserve"> por riesgo país.</w:t>
      </w:r>
    </w:p>
    <w:p w14:paraId="6B0A080F" w14:textId="77777777" w:rsidR="00FC4CA5" w:rsidRPr="00FC4CA5" w:rsidRDefault="00FC4CA5" w:rsidP="00FC4CA5">
      <w:pPr>
        <w:autoSpaceDE w:val="0"/>
        <w:autoSpaceDN w:val="0"/>
        <w:adjustRightInd w:val="0"/>
        <w:spacing w:after="0" w:line="240" w:lineRule="auto"/>
        <w:jc w:val="both"/>
        <w:rPr>
          <w:rFonts w:ascii="Verdana" w:hAnsi="Verdana" w:cs="Arial"/>
          <w:sz w:val="20"/>
          <w:szCs w:val="20"/>
        </w:rPr>
      </w:pPr>
    </w:p>
    <w:p w14:paraId="680BFD47" w14:textId="09EA98DB" w:rsidR="00274269" w:rsidRPr="001C6CAB" w:rsidRDefault="00274269" w:rsidP="00274269">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102BFC">
        <w:rPr>
          <w:rFonts w:ascii="Verdana" w:hAnsi="Verdana"/>
          <w:sz w:val="20"/>
          <w:szCs w:val="20"/>
        </w:rPr>
        <w:t>13</w:t>
      </w:r>
      <w:r w:rsidRPr="001C6CAB">
        <w:rPr>
          <w:rFonts w:ascii="Verdana" w:hAnsi="Verdana"/>
          <w:sz w:val="20"/>
          <w:szCs w:val="20"/>
        </w:rPr>
        <w:t>.</w:t>
      </w:r>
    </w:p>
    <w:p w14:paraId="07974558" w14:textId="3EBFFB7B" w:rsidR="002B3025" w:rsidRDefault="002B3025" w:rsidP="00B929BB">
      <w:pPr>
        <w:autoSpaceDE w:val="0"/>
        <w:autoSpaceDN w:val="0"/>
        <w:adjustRightInd w:val="0"/>
        <w:jc w:val="both"/>
        <w:rPr>
          <w:rFonts w:ascii="Verdana" w:hAnsi="Verdana" w:cs="Arial"/>
          <w:bCs/>
          <w:sz w:val="20"/>
          <w:szCs w:val="20"/>
        </w:rPr>
      </w:pPr>
      <w:r w:rsidRPr="002B3025">
        <w:rPr>
          <w:rFonts w:ascii="Verdana" w:hAnsi="Verdana" w:cs="Arial"/>
          <w:bCs/>
          <w:sz w:val="20"/>
          <w:szCs w:val="20"/>
        </w:rPr>
        <w:t xml:space="preserve">Los ajustes por deterioro </w:t>
      </w:r>
      <w:r w:rsidRPr="00174562">
        <w:rPr>
          <w:rFonts w:ascii="Verdana" w:hAnsi="Verdana" w:cs="Arial"/>
          <w:bCs/>
          <w:sz w:val="20"/>
          <w:szCs w:val="20"/>
        </w:rPr>
        <w:t>se deben reflejar en los estados financieros de</w:t>
      </w:r>
      <w:r w:rsidRPr="002B3025">
        <w:rPr>
          <w:rFonts w:ascii="Verdana" w:hAnsi="Verdana" w:cs="Arial"/>
          <w:bCs/>
          <w:sz w:val="20"/>
          <w:szCs w:val="20"/>
        </w:rPr>
        <w:t xml:space="preserve"> junio y diciembre a nivel individual y consolidado.</w:t>
      </w:r>
    </w:p>
    <w:p w14:paraId="49749FCF" w14:textId="4370A292" w:rsidR="00274269" w:rsidRPr="001C6CAB" w:rsidRDefault="00274269" w:rsidP="00274269">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102BFC">
        <w:rPr>
          <w:rFonts w:ascii="Verdana" w:hAnsi="Verdana"/>
          <w:sz w:val="20"/>
          <w:szCs w:val="20"/>
        </w:rPr>
        <w:t>14</w:t>
      </w:r>
      <w:r w:rsidRPr="001C6CAB">
        <w:rPr>
          <w:rFonts w:ascii="Verdana" w:hAnsi="Verdana"/>
          <w:sz w:val="20"/>
          <w:szCs w:val="20"/>
        </w:rPr>
        <w:t>.</w:t>
      </w:r>
    </w:p>
    <w:p w14:paraId="07907D46" w14:textId="77777777" w:rsidR="002C792F" w:rsidRDefault="002B3025" w:rsidP="00B929BB">
      <w:pPr>
        <w:autoSpaceDE w:val="0"/>
        <w:autoSpaceDN w:val="0"/>
        <w:adjustRightInd w:val="0"/>
        <w:jc w:val="both"/>
        <w:rPr>
          <w:rFonts w:ascii="Verdana" w:hAnsi="Verdana" w:cs="Arial"/>
          <w:bCs/>
          <w:sz w:val="20"/>
          <w:szCs w:val="20"/>
        </w:rPr>
      </w:pPr>
      <w:r w:rsidRPr="002B3025">
        <w:rPr>
          <w:rFonts w:ascii="Verdana" w:hAnsi="Verdana" w:cs="Arial"/>
          <w:bCs/>
          <w:sz w:val="20"/>
          <w:szCs w:val="20"/>
        </w:rPr>
        <w:t xml:space="preserve">En el caso en que se presente un detrimento de las variables que afectan las clasificaciones </w:t>
      </w:r>
      <w:r w:rsidR="00333773">
        <w:rPr>
          <w:rFonts w:ascii="Verdana" w:hAnsi="Verdana" w:cs="Arial"/>
          <w:bCs/>
          <w:sz w:val="20"/>
          <w:szCs w:val="20"/>
        </w:rPr>
        <w:t>mencionadas entre los párrafos 1.1.3.202. y 1.1.3.211.</w:t>
      </w:r>
      <w:r w:rsidR="00FB7A12">
        <w:rPr>
          <w:rFonts w:ascii="Verdana" w:hAnsi="Verdana" w:cs="Arial"/>
          <w:bCs/>
          <w:sz w:val="20"/>
          <w:szCs w:val="20"/>
        </w:rPr>
        <w:t>,</w:t>
      </w:r>
      <w:r w:rsidRPr="002B3025">
        <w:rPr>
          <w:rFonts w:ascii="Verdana" w:hAnsi="Verdana" w:cs="Arial"/>
          <w:bCs/>
          <w:sz w:val="20"/>
          <w:szCs w:val="20"/>
        </w:rPr>
        <w:t xml:space="preserve"> y que signifiquen un incremento en el nivel de riesgo país donde se encuentra domiciliada la inversión, las entidades deben reclasificar y reflejar los nuevos niveles de deterioro en el periodo correspondiente.</w:t>
      </w:r>
    </w:p>
    <w:p w14:paraId="47306B74" w14:textId="1E44C09C" w:rsidR="00274269" w:rsidRPr="001C6CAB" w:rsidRDefault="00274269" w:rsidP="00274269">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102BFC">
        <w:rPr>
          <w:rFonts w:ascii="Verdana" w:hAnsi="Verdana"/>
          <w:sz w:val="20"/>
          <w:szCs w:val="20"/>
        </w:rPr>
        <w:t>15</w:t>
      </w:r>
      <w:r w:rsidR="004868FF">
        <w:rPr>
          <w:rFonts w:ascii="Verdana" w:hAnsi="Verdana"/>
          <w:sz w:val="20"/>
          <w:szCs w:val="20"/>
        </w:rPr>
        <w:t>.</w:t>
      </w:r>
    </w:p>
    <w:p w14:paraId="35F2FBF3" w14:textId="5139B7B9" w:rsidR="002B3025" w:rsidRDefault="002B3025" w:rsidP="12B437D6">
      <w:pPr>
        <w:autoSpaceDE w:val="0"/>
        <w:autoSpaceDN w:val="0"/>
        <w:adjustRightInd w:val="0"/>
        <w:jc w:val="both"/>
        <w:rPr>
          <w:rFonts w:ascii="Verdana" w:hAnsi="Verdana" w:cs="Arial"/>
          <w:sz w:val="20"/>
          <w:szCs w:val="20"/>
        </w:rPr>
      </w:pPr>
      <w:r w:rsidRPr="12B437D6">
        <w:rPr>
          <w:rFonts w:ascii="Verdana" w:hAnsi="Verdana" w:cs="Arial"/>
          <w:sz w:val="20"/>
          <w:szCs w:val="20"/>
        </w:rPr>
        <w:t xml:space="preserve">Las entidades deben calibrar por lo menos anualmente el modelo de gestión de riesgo país que trata </w:t>
      </w:r>
      <w:r w:rsidR="00185310">
        <w:rPr>
          <w:rFonts w:ascii="Verdana" w:hAnsi="Verdana" w:cs="Arial"/>
          <w:sz w:val="20"/>
          <w:szCs w:val="20"/>
        </w:rPr>
        <w:t>la presente sección</w:t>
      </w:r>
      <w:r w:rsidRPr="12B437D6">
        <w:rPr>
          <w:rFonts w:ascii="Verdana" w:hAnsi="Verdana" w:cs="Arial"/>
          <w:sz w:val="20"/>
          <w:szCs w:val="20"/>
        </w:rPr>
        <w:t>. La SFC puede, en cualquier momento, revisar y solicitar modificaciones a las categorías de riesgo país, así como los ajustes por deterioro que haya realizado la entidad, con el propósito de que sea reconocido efectivamente el riesgo país</w:t>
      </w:r>
      <w:r w:rsidRPr="12B437D6">
        <w:rPr>
          <w:rFonts w:ascii="Verdana" w:hAnsi="Verdana" w:cs="Arial"/>
          <w:color w:val="FF0000"/>
          <w:sz w:val="20"/>
          <w:szCs w:val="20"/>
        </w:rPr>
        <w:t xml:space="preserve"> </w:t>
      </w:r>
      <w:r w:rsidRPr="12B437D6">
        <w:rPr>
          <w:rFonts w:ascii="Verdana" w:hAnsi="Verdana" w:cs="Arial"/>
          <w:sz w:val="20"/>
          <w:szCs w:val="20"/>
        </w:rPr>
        <w:t>al que la entidad se encuentra expuesta.</w:t>
      </w:r>
    </w:p>
    <w:p w14:paraId="7E2611D6" w14:textId="54959A0F" w:rsidR="00274269" w:rsidRPr="001C6CAB" w:rsidRDefault="00274269" w:rsidP="00274269">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102BFC">
        <w:rPr>
          <w:rFonts w:ascii="Verdana" w:hAnsi="Verdana"/>
          <w:sz w:val="20"/>
          <w:szCs w:val="20"/>
        </w:rPr>
        <w:t>16</w:t>
      </w:r>
      <w:r w:rsidRPr="001C6CAB">
        <w:rPr>
          <w:rFonts w:ascii="Verdana" w:hAnsi="Verdana"/>
          <w:sz w:val="20"/>
          <w:szCs w:val="20"/>
        </w:rPr>
        <w:t>.</w:t>
      </w:r>
    </w:p>
    <w:p w14:paraId="38BAC2E6" w14:textId="561839A3" w:rsidR="002B3025" w:rsidRPr="002B3025" w:rsidRDefault="002B3025" w:rsidP="00B929BB">
      <w:pPr>
        <w:autoSpaceDE w:val="0"/>
        <w:autoSpaceDN w:val="0"/>
        <w:adjustRightInd w:val="0"/>
        <w:jc w:val="both"/>
        <w:rPr>
          <w:rFonts w:ascii="Verdana" w:hAnsi="Verdana" w:cs="Arial"/>
          <w:bCs/>
          <w:sz w:val="20"/>
          <w:szCs w:val="20"/>
        </w:rPr>
      </w:pPr>
      <w:r w:rsidRPr="002B3025">
        <w:rPr>
          <w:rFonts w:ascii="Verdana" w:hAnsi="Verdana" w:cs="Arial"/>
          <w:bCs/>
          <w:sz w:val="20"/>
          <w:szCs w:val="20"/>
        </w:rPr>
        <w:t xml:space="preserve">Las instrucciones señaladas en la presente </w:t>
      </w:r>
      <w:r w:rsidR="00856D3D">
        <w:rPr>
          <w:rFonts w:ascii="Verdana" w:hAnsi="Verdana" w:cs="Arial"/>
          <w:bCs/>
          <w:sz w:val="20"/>
          <w:szCs w:val="20"/>
        </w:rPr>
        <w:t>sección</w:t>
      </w:r>
      <w:r w:rsidRPr="002B3025">
        <w:rPr>
          <w:rFonts w:ascii="Verdana" w:hAnsi="Verdana" w:cs="Arial"/>
          <w:bCs/>
          <w:sz w:val="20"/>
          <w:szCs w:val="20"/>
        </w:rPr>
        <w:t xml:space="preserve"> para medir el riesgo país de las entidades vigiladas, son complementarias a los principios para el reconocimiento y medición de la pérdida por deterioro del valor de los activos incluidos en el alcance de la NIC 36 </w:t>
      </w:r>
      <w:r w:rsidR="002A6A8F">
        <w:rPr>
          <w:rFonts w:ascii="Verdana" w:hAnsi="Verdana" w:cs="Arial"/>
          <w:bCs/>
          <w:sz w:val="20"/>
          <w:szCs w:val="20"/>
        </w:rPr>
        <w:t>(</w:t>
      </w:r>
      <w:r w:rsidRPr="002B3025">
        <w:rPr>
          <w:rFonts w:ascii="Verdana" w:hAnsi="Verdana" w:cs="Arial"/>
          <w:bCs/>
          <w:sz w:val="20"/>
          <w:szCs w:val="20"/>
        </w:rPr>
        <w:t>Deterioro del Valor de los Activos</w:t>
      </w:r>
      <w:r w:rsidR="002A6A8F">
        <w:rPr>
          <w:rFonts w:ascii="Verdana" w:hAnsi="Verdana" w:cs="Arial"/>
          <w:bCs/>
          <w:sz w:val="20"/>
          <w:szCs w:val="20"/>
        </w:rPr>
        <w:t>)</w:t>
      </w:r>
      <w:r w:rsidRPr="002B3025">
        <w:rPr>
          <w:rFonts w:ascii="Verdana" w:hAnsi="Verdana" w:cs="Arial"/>
          <w:bCs/>
          <w:sz w:val="20"/>
          <w:szCs w:val="20"/>
        </w:rPr>
        <w:t xml:space="preserve">, o sus modificaciones. Por lo tanto, cuando la entidad vigilada reconozca pérdidas contables por el deterioro del valor de las inversiones en el exterior, podrá descontar dicho valor del ajuste por deterioro que deba reconocer por </w:t>
      </w:r>
      <w:r w:rsidRPr="00236BA9">
        <w:rPr>
          <w:rFonts w:ascii="Verdana" w:hAnsi="Verdana" w:cs="Arial"/>
          <w:bCs/>
          <w:sz w:val="20"/>
          <w:szCs w:val="20"/>
        </w:rPr>
        <w:t>la aplicación de l</w:t>
      </w:r>
      <w:r w:rsidR="00236BA9">
        <w:rPr>
          <w:rFonts w:ascii="Verdana" w:hAnsi="Verdana" w:cs="Arial"/>
          <w:bCs/>
          <w:sz w:val="20"/>
          <w:szCs w:val="20"/>
        </w:rPr>
        <w:t>as instrucciones</w:t>
      </w:r>
      <w:r w:rsidRPr="00236BA9">
        <w:rPr>
          <w:rFonts w:ascii="Verdana" w:hAnsi="Verdana" w:cs="Arial"/>
          <w:bCs/>
          <w:sz w:val="20"/>
          <w:szCs w:val="20"/>
        </w:rPr>
        <w:t xml:space="preserve"> previst</w:t>
      </w:r>
      <w:r w:rsidR="00236BA9">
        <w:rPr>
          <w:rFonts w:ascii="Verdana" w:hAnsi="Verdana" w:cs="Arial"/>
          <w:bCs/>
          <w:sz w:val="20"/>
          <w:szCs w:val="20"/>
        </w:rPr>
        <w:t>as</w:t>
      </w:r>
      <w:r w:rsidRPr="00236BA9">
        <w:rPr>
          <w:rFonts w:ascii="Verdana" w:hAnsi="Verdana" w:cs="Arial"/>
          <w:bCs/>
          <w:sz w:val="20"/>
          <w:szCs w:val="20"/>
        </w:rPr>
        <w:t xml:space="preserve"> en</w:t>
      </w:r>
      <w:r w:rsidR="00FB7A12" w:rsidRPr="00236BA9">
        <w:rPr>
          <w:rFonts w:ascii="Verdana" w:hAnsi="Verdana" w:cs="Arial"/>
          <w:bCs/>
          <w:sz w:val="20"/>
          <w:szCs w:val="20"/>
        </w:rPr>
        <w:t>tre</w:t>
      </w:r>
      <w:r w:rsidR="00FB7A12">
        <w:rPr>
          <w:rFonts w:ascii="Verdana" w:hAnsi="Verdana" w:cs="Arial"/>
          <w:bCs/>
          <w:sz w:val="20"/>
          <w:szCs w:val="20"/>
        </w:rPr>
        <w:t xml:space="preserve"> los párrafos 1.1.</w:t>
      </w:r>
      <w:r w:rsidR="00236BA9">
        <w:rPr>
          <w:rFonts w:ascii="Verdana" w:hAnsi="Verdana" w:cs="Arial"/>
          <w:bCs/>
          <w:sz w:val="20"/>
          <w:szCs w:val="20"/>
        </w:rPr>
        <w:t xml:space="preserve">3.212. y 1.1.3.216. </w:t>
      </w:r>
    </w:p>
    <w:p w14:paraId="6FD3D1FC" w14:textId="7E07545A" w:rsidR="002B3025" w:rsidRPr="00274269" w:rsidRDefault="002B3025" w:rsidP="00B929BB">
      <w:pPr>
        <w:autoSpaceDE w:val="0"/>
        <w:autoSpaceDN w:val="0"/>
        <w:adjustRightInd w:val="0"/>
        <w:jc w:val="both"/>
        <w:rPr>
          <w:rFonts w:ascii="Verdana" w:hAnsi="Verdana" w:cs="Arial"/>
          <w:b/>
          <w:sz w:val="20"/>
          <w:szCs w:val="20"/>
        </w:rPr>
      </w:pPr>
      <w:r w:rsidRPr="00274269">
        <w:rPr>
          <w:rFonts w:ascii="Verdana" w:hAnsi="Verdana" w:cs="Arial"/>
          <w:b/>
          <w:sz w:val="20"/>
          <w:szCs w:val="20"/>
        </w:rPr>
        <w:t>Revelación del riesgo país</w:t>
      </w:r>
    </w:p>
    <w:p w14:paraId="7A3BF235" w14:textId="4AA049A6" w:rsidR="00274269" w:rsidRPr="001C6CAB" w:rsidRDefault="00274269" w:rsidP="00274269">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102BFC">
        <w:rPr>
          <w:rFonts w:ascii="Verdana" w:hAnsi="Verdana"/>
          <w:sz w:val="20"/>
          <w:szCs w:val="20"/>
        </w:rPr>
        <w:t>17</w:t>
      </w:r>
      <w:r w:rsidRPr="001C6CAB">
        <w:rPr>
          <w:rFonts w:ascii="Verdana" w:hAnsi="Verdana"/>
          <w:sz w:val="20"/>
          <w:szCs w:val="20"/>
        </w:rPr>
        <w:t>.</w:t>
      </w:r>
    </w:p>
    <w:p w14:paraId="4AB25BA4" w14:textId="1BEAF9A3" w:rsidR="006C3545" w:rsidRDefault="002B3025" w:rsidP="00B929BB">
      <w:pPr>
        <w:autoSpaceDE w:val="0"/>
        <w:autoSpaceDN w:val="0"/>
        <w:adjustRightInd w:val="0"/>
        <w:jc w:val="both"/>
        <w:rPr>
          <w:rFonts w:ascii="Verdana" w:hAnsi="Verdana" w:cs="Arial"/>
          <w:bCs/>
          <w:sz w:val="20"/>
          <w:szCs w:val="20"/>
        </w:rPr>
      </w:pPr>
      <w:r w:rsidRPr="002B3025">
        <w:rPr>
          <w:rFonts w:ascii="Verdana" w:hAnsi="Verdana" w:cs="Arial"/>
          <w:bCs/>
          <w:sz w:val="20"/>
          <w:szCs w:val="20"/>
        </w:rPr>
        <w:t xml:space="preserve">Sin perjuicio de otras disposiciones vigentes sobre revelación de información financiera, las entidades deben presentar en las notas a los estados financieros del periodo en cuestión, la  información cualitativa y cuantitativa sobre el desempeño y situación financiera, las estrategias y/o prácticas de administración, exposiciones y deterioro por riesgo país, a nivel global, por región geográfica y por cada país, con el propósito de facilitar la comprensión efectiva de las exposiciones al riesgo de la entidad durante un periodo de información financiera. </w:t>
      </w:r>
    </w:p>
    <w:p w14:paraId="2D769311" w14:textId="77777777" w:rsidR="00FC4CA5" w:rsidRDefault="00FC4CA5">
      <w:pPr>
        <w:rPr>
          <w:rFonts w:ascii="Verdana" w:hAnsi="Verdana" w:cs="Arial"/>
          <w:b/>
          <w:sz w:val="20"/>
          <w:szCs w:val="20"/>
        </w:rPr>
      </w:pPr>
      <w:r>
        <w:rPr>
          <w:rFonts w:ascii="Verdana" w:hAnsi="Verdana" w:cs="Arial"/>
          <w:b/>
          <w:sz w:val="20"/>
          <w:szCs w:val="20"/>
        </w:rPr>
        <w:br w:type="page"/>
      </w:r>
    </w:p>
    <w:p w14:paraId="5E09DB68" w14:textId="7730FD69" w:rsidR="002B3025" w:rsidRPr="00274269" w:rsidRDefault="002B3025" w:rsidP="00B929BB">
      <w:pPr>
        <w:autoSpaceDE w:val="0"/>
        <w:autoSpaceDN w:val="0"/>
        <w:adjustRightInd w:val="0"/>
        <w:jc w:val="both"/>
        <w:rPr>
          <w:rFonts w:ascii="Verdana" w:hAnsi="Verdana" w:cs="Arial"/>
          <w:b/>
          <w:sz w:val="20"/>
          <w:szCs w:val="20"/>
          <w:lang w:val="es-ES"/>
        </w:rPr>
      </w:pPr>
      <w:r w:rsidRPr="00274269">
        <w:rPr>
          <w:rFonts w:ascii="Verdana" w:hAnsi="Verdana" w:cs="Arial"/>
          <w:b/>
          <w:sz w:val="20"/>
          <w:szCs w:val="20"/>
        </w:rPr>
        <w:lastRenderedPageBreak/>
        <w:t>MODELO DE RIESGO DE TASA DE INTERÉS DEL LIBRO BANCARIO</w:t>
      </w:r>
    </w:p>
    <w:p w14:paraId="0E0A68A2" w14:textId="00E78487" w:rsidR="002B3025" w:rsidRDefault="002B3025" w:rsidP="00FC4CA5">
      <w:pPr>
        <w:tabs>
          <w:tab w:val="left" w:pos="0"/>
        </w:tabs>
        <w:spacing w:after="0" w:line="240" w:lineRule="auto"/>
        <w:jc w:val="both"/>
        <w:rPr>
          <w:rFonts w:ascii="Verdana" w:hAnsi="Verdana" w:cs="Arial"/>
          <w:b/>
          <w:sz w:val="20"/>
          <w:szCs w:val="20"/>
        </w:rPr>
      </w:pPr>
      <w:r w:rsidRPr="00274269">
        <w:rPr>
          <w:rFonts w:ascii="Verdana" w:hAnsi="Verdana" w:cs="Arial"/>
          <w:b/>
          <w:sz w:val="20"/>
          <w:szCs w:val="20"/>
        </w:rPr>
        <w:t>Ámbito de aplicación</w:t>
      </w:r>
    </w:p>
    <w:p w14:paraId="7638CA69" w14:textId="77777777" w:rsidR="00FC4CA5" w:rsidRPr="00FC4CA5" w:rsidRDefault="00FC4CA5" w:rsidP="00FC4CA5">
      <w:pPr>
        <w:tabs>
          <w:tab w:val="left" w:pos="0"/>
        </w:tabs>
        <w:spacing w:after="0" w:line="240" w:lineRule="auto"/>
        <w:jc w:val="both"/>
        <w:rPr>
          <w:rFonts w:ascii="Verdana" w:hAnsi="Verdana" w:cs="Arial"/>
          <w:b/>
          <w:sz w:val="20"/>
          <w:szCs w:val="20"/>
        </w:rPr>
      </w:pPr>
    </w:p>
    <w:p w14:paraId="545EA565" w14:textId="595378AD" w:rsidR="00274269" w:rsidRPr="001C6CAB" w:rsidRDefault="00274269" w:rsidP="00274269">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5A7556">
        <w:rPr>
          <w:rFonts w:ascii="Verdana" w:hAnsi="Verdana"/>
          <w:sz w:val="20"/>
          <w:szCs w:val="20"/>
        </w:rPr>
        <w:t>18</w:t>
      </w:r>
      <w:r w:rsidRPr="001C6CAB">
        <w:rPr>
          <w:rFonts w:ascii="Verdana" w:hAnsi="Verdana"/>
          <w:sz w:val="20"/>
          <w:szCs w:val="20"/>
        </w:rPr>
        <w:t>.</w:t>
      </w:r>
    </w:p>
    <w:p w14:paraId="3FB2180B" w14:textId="79EE462A" w:rsidR="002B3025" w:rsidRPr="002B3025" w:rsidRDefault="002B3025" w:rsidP="00B929BB">
      <w:pPr>
        <w:pStyle w:val="Prrafodelista"/>
        <w:ind w:left="0"/>
        <w:jc w:val="both"/>
        <w:rPr>
          <w:rFonts w:ascii="Verdana" w:hAnsi="Verdana" w:cs="Arial"/>
          <w:bCs/>
          <w:sz w:val="20"/>
          <w:szCs w:val="20"/>
        </w:rPr>
      </w:pPr>
      <w:r w:rsidRPr="002B3025">
        <w:rPr>
          <w:rFonts w:ascii="Verdana" w:hAnsi="Verdana" w:cs="Arial"/>
          <w:bCs/>
          <w:sz w:val="20"/>
          <w:szCs w:val="20"/>
        </w:rPr>
        <w:t xml:space="preserve">Lo dispuesto </w:t>
      </w:r>
      <w:r w:rsidR="00A67890">
        <w:rPr>
          <w:rFonts w:ascii="Verdana" w:hAnsi="Verdana" w:cs="Arial"/>
          <w:bCs/>
          <w:sz w:val="20"/>
          <w:szCs w:val="20"/>
        </w:rPr>
        <w:t xml:space="preserve">en la presente sección para la gestión del RTILB </w:t>
      </w:r>
      <w:r w:rsidRPr="002B3025">
        <w:rPr>
          <w:rFonts w:ascii="Verdana" w:hAnsi="Verdana" w:cs="Arial"/>
          <w:bCs/>
          <w:sz w:val="20"/>
          <w:szCs w:val="20"/>
        </w:rPr>
        <w:t xml:space="preserve">aplica a los establecimientos bancarios, corporaciones financieras, compañías de financiamiento, entidades cooperativas de carácter financiero, organismos cooperativos de grado superior e instituciones oficiales especiales, a nivel individual y consolidado que tengan posiciones activas, pasivas y partidas </w:t>
      </w:r>
      <w:r w:rsidR="00162BBD">
        <w:rPr>
          <w:rFonts w:ascii="Verdana" w:hAnsi="Verdana" w:cs="Arial"/>
          <w:bCs/>
          <w:sz w:val="20"/>
          <w:szCs w:val="20"/>
        </w:rPr>
        <w:t xml:space="preserve">de </w:t>
      </w:r>
      <w:r w:rsidRPr="002B3025">
        <w:rPr>
          <w:rFonts w:ascii="Verdana" w:hAnsi="Verdana" w:cs="Arial"/>
          <w:bCs/>
          <w:sz w:val="20"/>
          <w:szCs w:val="20"/>
        </w:rPr>
        <w:t>fuera de balance que conjuntamente exponen a la entidad al RTILB, incluido el RSCLB.</w:t>
      </w:r>
    </w:p>
    <w:p w14:paraId="7DA9B4F8" w14:textId="4E0676F6" w:rsidR="002B3025" w:rsidRDefault="002B3025" w:rsidP="00564A4C">
      <w:pPr>
        <w:tabs>
          <w:tab w:val="left" w:pos="0"/>
        </w:tabs>
        <w:spacing w:after="0" w:line="240" w:lineRule="auto"/>
        <w:jc w:val="both"/>
        <w:rPr>
          <w:rFonts w:ascii="Verdana" w:hAnsi="Verdana" w:cs="Arial"/>
          <w:b/>
          <w:sz w:val="20"/>
          <w:szCs w:val="20"/>
        </w:rPr>
      </w:pPr>
      <w:r w:rsidRPr="00274269">
        <w:rPr>
          <w:rFonts w:ascii="Verdana" w:hAnsi="Verdana" w:cs="Arial"/>
          <w:b/>
          <w:sz w:val="20"/>
          <w:szCs w:val="20"/>
        </w:rPr>
        <w:t>Metodología de medición</w:t>
      </w:r>
    </w:p>
    <w:p w14:paraId="6DC157F8" w14:textId="77777777" w:rsidR="00564A4C" w:rsidRPr="00564A4C" w:rsidRDefault="00564A4C" w:rsidP="00564A4C">
      <w:pPr>
        <w:tabs>
          <w:tab w:val="left" w:pos="0"/>
        </w:tabs>
        <w:spacing w:after="0" w:line="240" w:lineRule="auto"/>
        <w:jc w:val="both"/>
        <w:rPr>
          <w:rFonts w:ascii="Verdana" w:hAnsi="Verdana" w:cs="Arial"/>
          <w:b/>
          <w:sz w:val="20"/>
          <w:szCs w:val="20"/>
        </w:rPr>
      </w:pPr>
    </w:p>
    <w:p w14:paraId="708F5D5B" w14:textId="43128E08" w:rsidR="00274269" w:rsidRPr="001C6CAB" w:rsidRDefault="00274269" w:rsidP="00274269">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5A7556">
        <w:rPr>
          <w:rFonts w:ascii="Verdana" w:hAnsi="Verdana"/>
          <w:sz w:val="20"/>
          <w:szCs w:val="20"/>
        </w:rPr>
        <w:t>19</w:t>
      </w:r>
      <w:r w:rsidRPr="001C6CAB">
        <w:rPr>
          <w:rFonts w:ascii="Verdana" w:hAnsi="Verdana"/>
          <w:sz w:val="20"/>
          <w:szCs w:val="20"/>
        </w:rPr>
        <w:t>.</w:t>
      </w:r>
    </w:p>
    <w:p w14:paraId="729093EA" w14:textId="71F74C36" w:rsidR="002B3025" w:rsidRPr="002B3025" w:rsidRDefault="002B3025" w:rsidP="12B437D6">
      <w:pPr>
        <w:jc w:val="both"/>
        <w:rPr>
          <w:rFonts w:ascii="Verdana" w:hAnsi="Verdana" w:cs="Arial"/>
          <w:sz w:val="20"/>
          <w:szCs w:val="20"/>
        </w:rPr>
      </w:pPr>
      <w:r w:rsidRPr="12B437D6">
        <w:rPr>
          <w:rFonts w:ascii="Verdana" w:hAnsi="Verdana" w:cs="Arial"/>
          <w:sz w:val="20"/>
          <w:szCs w:val="20"/>
        </w:rPr>
        <w:t xml:space="preserve">Para la administración y cálculo del RTILB, la entidad debe cumplir con los criterios de gestión y de medición del presente </w:t>
      </w:r>
      <w:r w:rsidR="004F08AC">
        <w:rPr>
          <w:rFonts w:ascii="Verdana" w:hAnsi="Verdana" w:cs="Arial"/>
          <w:sz w:val="20"/>
          <w:szCs w:val="20"/>
        </w:rPr>
        <w:t>c</w:t>
      </w:r>
      <w:r w:rsidRPr="12B437D6">
        <w:rPr>
          <w:rFonts w:ascii="Verdana" w:hAnsi="Verdana" w:cs="Arial"/>
          <w:sz w:val="20"/>
          <w:szCs w:val="20"/>
        </w:rPr>
        <w:t xml:space="preserve">apítulo. Dicha </w:t>
      </w:r>
      <w:r w:rsidRPr="004F08AC">
        <w:rPr>
          <w:rFonts w:ascii="Verdana" w:hAnsi="Verdana" w:cs="Arial"/>
          <w:sz w:val="20"/>
          <w:szCs w:val="20"/>
        </w:rPr>
        <w:t xml:space="preserve">estimación del riesgo debe cumplir, como mínimo, con los requisitos de la metodología estándar del </w:t>
      </w:r>
      <w:r w:rsidR="00564A4C" w:rsidRPr="004F08AC">
        <w:rPr>
          <w:rFonts w:ascii="Verdana" w:hAnsi="Verdana" w:cs="Arial"/>
          <w:sz w:val="20"/>
          <w:szCs w:val="20"/>
        </w:rPr>
        <w:t>a</w:t>
      </w:r>
      <w:r w:rsidRPr="004F08AC">
        <w:rPr>
          <w:rFonts w:ascii="Verdana" w:hAnsi="Verdana" w:cs="Arial"/>
          <w:sz w:val="20"/>
          <w:szCs w:val="20"/>
        </w:rPr>
        <w:t>nexo 15</w:t>
      </w:r>
      <w:r w:rsidR="00564A4C" w:rsidRPr="004F08AC">
        <w:rPr>
          <w:rFonts w:ascii="Verdana" w:hAnsi="Verdana" w:cs="Arial"/>
          <w:sz w:val="20"/>
          <w:szCs w:val="20"/>
        </w:rPr>
        <w:t xml:space="preserve"> </w:t>
      </w:r>
      <w:r w:rsidR="00952303">
        <w:rPr>
          <w:rFonts w:ascii="Verdana" w:hAnsi="Verdana" w:cs="Arial"/>
          <w:sz w:val="20"/>
          <w:szCs w:val="20"/>
        </w:rPr>
        <w:t xml:space="preserve">del </w:t>
      </w:r>
      <w:r w:rsidR="00564A4C" w:rsidRPr="004F08AC">
        <w:rPr>
          <w:rFonts w:ascii="Verdana" w:hAnsi="Verdana" w:cs="Arial"/>
          <w:sz w:val="20"/>
          <w:szCs w:val="20"/>
        </w:rPr>
        <w:t>presente</w:t>
      </w:r>
      <w:r w:rsidR="00564A4C">
        <w:rPr>
          <w:rFonts w:ascii="Verdana" w:hAnsi="Verdana" w:cs="Arial"/>
          <w:sz w:val="20"/>
          <w:szCs w:val="20"/>
        </w:rPr>
        <w:t xml:space="preserve"> capítulo</w:t>
      </w:r>
      <w:r w:rsidRPr="12B437D6">
        <w:rPr>
          <w:rFonts w:ascii="Verdana" w:hAnsi="Verdana" w:cs="Arial"/>
          <w:sz w:val="20"/>
          <w:szCs w:val="20"/>
        </w:rPr>
        <w:t xml:space="preserve">. A su vez, las entidades que cuenten con modelos internos no objetados por la SFC deben cumplir con los requisitos generales y específicos de medición señalados en </w:t>
      </w:r>
      <w:r w:rsidR="004F08AC">
        <w:rPr>
          <w:rFonts w:ascii="Verdana" w:hAnsi="Verdana" w:cs="Arial"/>
          <w:sz w:val="20"/>
          <w:szCs w:val="20"/>
        </w:rPr>
        <w:t>la presente sección</w:t>
      </w:r>
      <w:r w:rsidRPr="12B437D6">
        <w:rPr>
          <w:rFonts w:ascii="Verdana" w:hAnsi="Verdana" w:cs="Arial"/>
          <w:sz w:val="20"/>
          <w:szCs w:val="20"/>
        </w:rPr>
        <w:t>.</w:t>
      </w:r>
    </w:p>
    <w:p w14:paraId="41229E96" w14:textId="6054EA4A" w:rsidR="00274269" w:rsidRPr="001C6CAB" w:rsidRDefault="00274269" w:rsidP="00274269">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5A7556">
        <w:rPr>
          <w:rFonts w:ascii="Verdana" w:hAnsi="Verdana"/>
          <w:sz w:val="20"/>
          <w:szCs w:val="20"/>
        </w:rPr>
        <w:t>20</w:t>
      </w:r>
      <w:r w:rsidRPr="001C6CAB">
        <w:rPr>
          <w:rFonts w:ascii="Verdana" w:hAnsi="Verdana"/>
          <w:sz w:val="20"/>
          <w:szCs w:val="20"/>
        </w:rPr>
        <w:t>.</w:t>
      </w:r>
    </w:p>
    <w:p w14:paraId="77BD2829" w14:textId="77777777" w:rsidR="002B3025" w:rsidRPr="002B3025" w:rsidRDefault="002B3025" w:rsidP="00B929BB">
      <w:pPr>
        <w:jc w:val="both"/>
        <w:rPr>
          <w:rFonts w:ascii="Verdana" w:hAnsi="Verdana" w:cs="Arial"/>
          <w:bCs/>
          <w:sz w:val="20"/>
          <w:szCs w:val="20"/>
        </w:rPr>
      </w:pPr>
      <w:r w:rsidRPr="002B3025">
        <w:rPr>
          <w:rFonts w:ascii="Verdana" w:hAnsi="Verdana" w:cs="Arial"/>
          <w:bCs/>
          <w:sz w:val="20"/>
          <w:szCs w:val="20"/>
        </w:rPr>
        <w:t>Todas las entidades deben realizar dos medidas para cuantificar el impacto potencial del RTILB:</w:t>
      </w:r>
    </w:p>
    <w:p w14:paraId="471731DE" w14:textId="4186C627" w:rsidR="002B3025" w:rsidRDefault="002B3025" w:rsidP="00551D66">
      <w:pPr>
        <w:pStyle w:val="Prrafodelista"/>
        <w:numPr>
          <w:ilvl w:val="0"/>
          <w:numId w:val="36"/>
        </w:numPr>
        <w:spacing w:after="0" w:line="240" w:lineRule="auto"/>
        <w:ind w:left="567" w:hanging="567"/>
        <w:contextualSpacing w:val="0"/>
        <w:jc w:val="both"/>
        <w:rPr>
          <w:rFonts w:ascii="Verdana" w:hAnsi="Verdana" w:cs="Arial"/>
          <w:bCs/>
          <w:sz w:val="20"/>
          <w:szCs w:val="20"/>
        </w:rPr>
      </w:pPr>
      <w:r w:rsidRPr="002B3025">
        <w:rPr>
          <w:rFonts w:ascii="Verdana" w:hAnsi="Verdana" w:cs="Arial"/>
          <w:bCs/>
          <w:sz w:val="20"/>
          <w:szCs w:val="20"/>
        </w:rPr>
        <w:t>Cambios en las ganancias esperadas – MNI</w:t>
      </w:r>
      <w:r w:rsidR="00716F2E">
        <w:rPr>
          <w:rFonts w:ascii="Verdana" w:hAnsi="Verdana" w:cs="Arial"/>
          <w:bCs/>
          <w:sz w:val="20"/>
          <w:szCs w:val="20"/>
        </w:rPr>
        <w:t>.</w:t>
      </w:r>
      <w:r w:rsidRPr="002B3025">
        <w:rPr>
          <w:rFonts w:ascii="Verdana" w:hAnsi="Verdana" w:cs="Arial"/>
          <w:bCs/>
          <w:sz w:val="20"/>
          <w:szCs w:val="20"/>
        </w:rPr>
        <w:t xml:space="preserve"> </w:t>
      </w:r>
    </w:p>
    <w:p w14:paraId="06792E73" w14:textId="77777777" w:rsidR="00564A4C" w:rsidRPr="002B3025" w:rsidRDefault="00564A4C" w:rsidP="00564A4C">
      <w:pPr>
        <w:pStyle w:val="Prrafodelista"/>
        <w:spacing w:after="0" w:line="240" w:lineRule="auto"/>
        <w:ind w:left="567"/>
        <w:contextualSpacing w:val="0"/>
        <w:jc w:val="both"/>
        <w:rPr>
          <w:rFonts w:ascii="Verdana" w:hAnsi="Verdana" w:cs="Arial"/>
          <w:bCs/>
          <w:sz w:val="20"/>
          <w:szCs w:val="20"/>
        </w:rPr>
      </w:pPr>
    </w:p>
    <w:p w14:paraId="50192A37" w14:textId="76291555" w:rsidR="002B3025" w:rsidRDefault="002B3025" w:rsidP="00551D66">
      <w:pPr>
        <w:pStyle w:val="Prrafodelista"/>
        <w:numPr>
          <w:ilvl w:val="0"/>
          <w:numId w:val="36"/>
        </w:numPr>
        <w:spacing w:after="0" w:line="240" w:lineRule="auto"/>
        <w:ind w:left="567" w:hanging="567"/>
        <w:contextualSpacing w:val="0"/>
        <w:jc w:val="both"/>
        <w:rPr>
          <w:rFonts w:ascii="Verdana" w:hAnsi="Verdana" w:cs="Arial"/>
          <w:bCs/>
          <w:sz w:val="20"/>
          <w:szCs w:val="20"/>
        </w:rPr>
      </w:pPr>
      <w:r w:rsidRPr="002B3025">
        <w:rPr>
          <w:rFonts w:ascii="Verdana" w:hAnsi="Verdana" w:cs="Arial"/>
          <w:bCs/>
          <w:sz w:val="20"/>
          <w:szCs w:val="20"/>
        </w:rPr>
        <w:t>Cambios en el Valor Económico del Patrimonio – VEP.</w:t>
      </w:r>
    </w:p>
    <w:p w14:paraId="0BCF96A7" w14:textId="77777777" w:rsidR="00564A4C" w:rsidRPr="00564A4C" w:rsidRDefault="00564A4C" w:rsidP="00564A4C">
      <w:pPr>
        <w:pStyle w:val="Prrafodelista"/>
        <w:spacing w:after="0" w:line="240" w:lineRule="auto"/>
        <w:ind w:left="567"/>
        <w:contextualSpacing w:val="0"/>
        <w:jc w:val="both"/>
        <w:rPr>
          <w:rFonts w:ascii="Verdana" w:hAnsi="Verdana" w:cs="Arial"/>
          <w:bCs/>
          <w:sz w:val="20"/>
          <w:szCs w:val="20"/>
        </w:rPr>
      </w:pPr>
    </w:p>
    <w:p w14:paraId="70755A7E" w14:textId="1F76A1D8" w:rsidR="002B3025" w:rsidRPr="001642BE" w:rsidRDefault="002B3025" w:rsidP="00551D66">
      <w:pPr>
        <w:pStyle w:val="Prrafodelista"/>
        <w:numPr>
          <w:ilvl w:val="0"/>
          <w:numId w:val="39"/>
        </w:numPr>
        <w:ind w:left="284" w:hanging="284"/>
        <w:jc w:val="both"/>
        <w:rPr>
          <w:rFonts w:ascii="Verdana" w:hAnsi="Verdana" w:cs="Arial"/>
          <w:b/>
          <w:sz w:val="20"/>
          <w:szCs w:val="20"/>
        </w:rPr>
      </w:pPr>
      <w:r w:rsidRPr="001642BE">
        <w:rPr>
          <w:rFonts w:ascii="Verdana" w:hAnsi="Verdana" w:cs="Arial"/>
          <w:b/>
          <w:sz w:val="20"/>
          <w:szCs w:val="20"/>
        </w:rPr>
        <w:t>Metodología estándar</w:t>
      </w:r>
    </w:p>
    <w:p w14:paraId="252B99BC" w14:textId="4D5FEA8A" w:rsidR="004F53FA" w:rsidRPr="001C6CAB" w:rsidRDefault="004F53FA" w:rsidP="004F53FA">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5A7556">
        <w:rPr>
          <w:rFonts w:ascii="Verdana" w:hAnsi="Verdana"/>
          <w:sz w:val="20"/>
          <w:szCs w:val="20"/>
        </w:rPr>
        <w:t>21</w:t>
      </w:r>
      <w:r w:rsidRPr="001C6CAB">
        <w:rPr>
          <w:rFonts w:ascii="Verdana" w:hAnsi="Verdana"/>
          <w:sz w:val="20"/>
          <w:szCs w:val="20"/>
        </w:rPr>
        <w:t>.</w:t>
      </w:r>
    </w:p>
    <w:p w14:paraId="436FD5D9" w14:textId="2837F622" w:rsidR="002B3025" w:rsidRPr="002B3025" w:rsidRDefault="002B3025" w:rsidP="12B437D6">
      <w:pPr>
        <w:jc w:val="both"/>
        <w:rPr>
          <w:rFonts w:ascii="Verdana" w:hAnsi="Verdana" w:cs="Arial"/>
          <w:sz w:val="20"/>
          <w:szCs w:val="20"/>
        </w:rPr>
      </w:pPr>
      <w:r w:rsidRPr="12B437D6">
        <w:rPr>
          <w:rFonts w:ascii="Verdana" w:hAnsi="Verdana" w:cs="Arial"/>
          <w:sz w:val="20"/>
          <w:szCs w:val="20"/>
        </w:rPr>
        <w:t xml:space="preserve">La metodología estándar debe entenderse como la especificación de los componentes y pasos que las entidades deben aplicar en el cálculo de las estimaciones del RTILB para el VEP y el MNI que sean comparables entre un escenario de referencia y un escenario de choques de tasas de interés. Para el efecto es importante que la entidad efectúe una adecuada clasificación de los flujos de efectivo en cada una de las 3 categorías, según el nivel de estandarización, así como un proceso adecuado de asignación de los flujos contractuales en cada una de las bandas o puntos medios de las bandas de tiempo, con especial atención sobre aquellas exposiciones con riesgo de opcionalidad implícita o explícita, y aplicar los </w:t>
      </w:r>
      <w:r w:rsidRPr="00716F2E">
        <w:rPr>
          <w:rFonts w:ascii="Verdana" w:hAnsi="Verdana" w:cs="Arial"/>
          <w:sz w:val="20"/>
          <w:szCs w:val="20"/>
        </w:rPr>
        <w:t xml:space="preserve">pasos señalados en el </w:t>
      </w:r>
      <w:r w:rsidR="00716F2E" w:rsidRPr="00716F2E">
        <w:rPr>
          <w:rFonts w:ascii="Verdana" w:hAnsi="Verdana" w:cs="Arial"/>
          <w:sz w:val="20"/>
          <w:szCs w:val="20"/>
        </w:rPr>
        <w:t>a</w:t>
      </w:r>
      <w:r w:rsidRPr="00716F2E">
        <w:rPr>
          <w:rFonts w:ascii="Verdana" w:hAnsi="Verdana" w:cs="Arial"/>
          <w:sz w:val="20"/>
          <w:szCs w:val="20"/>
        </w:rPr>
        <w:t>nexo 15</w:t>
      </w:r>
      <w:r w:rsidR="00716F2E" w:rsidRPr="00716F2E">
        <w:rPr>
          <w:rFonts w:ascii="Verdana" w:hAnsi="Verdana" w:cs="Arial"/>
          <w:sz w:val="20"/>
          <w:szCs w:val="20"/>
        </w:rPr>
        <w:t xml:space="preserve"> del presente capítulo</w:t>
      </w:r>
      <w:r w:rsidRPr="00716F2E">
        <w:rPr>
          <w:rFonts w:ascii="Verdana" w:hAnsi="Verdana" w:cs="Arial"/>
          <w:sz w:val="20"/>
          <w:szCs w:val="20"/>
        </w:rPr>
        <w:t xml:space="preserve"> para el cálculo de las estimaciones</w:t>
      </w:r>
      <w:r w:rsidRPr="12B437D6">
        <w:rPr>
          <w:rFonts w:ascii="Verdana" w:hAnsi="Verdana" w:cs="Arial"/>
          <w:sz w:val="20"/>
          <w:szCs w:val="20"/>
        </w:rPr>
        <w:t xml:space="preserve"> del VEP y el MNI.</w:t>
      </w:r>
    </w:p>
    <w:p w14:paraId="24741D5B" w14:textId="4CD911F9" w:rsidR="002B3025" w:rsidRPr="004042CA" w:rsidRDefault="002B3025" w:rsidP="00551D66">
      <w:pPr>
        <w:pStyle w:val="Prrafodelista"/>
        <w:numPr>
          <w:ilvl w:val="0"/>
          <w:numId w:val="39"/>
        </w:numPr>
        <w:ind w:left="284" w:hanging="284"/>
        <w:jc w:val="both"/>
        <w:rPr>
          <w:rFonts w:ascii="Verdana" w:hAnsi="Verdana" w:cs="Arial"/>
          <w:b/>
          <w:sz w:val="20"/>
          <w:szCs w:val="20"/>
        </w:rPr>
      </w:pPr>
      <w:r w:rsidRPr="004042CA">
        <w:rPr>
          <w:rFonts w:ascii="Verdana" w:hAnsi="Verdana" w:cs="Arial"/>
          <w:b/>
          <w:sz w:val="20"/>
          <w:szCs w:val="20"/>
        </w:rPr>
        <w:t>Requisitos generales</w:t>
      </w:r>
    </w:p>
    <w:p w14:paraId="3E9365FB" w14:textId="79C4936A" w:rsidR="004F53FA" w:rsidRPr="001C6CAB" w:rsidRDefault="004F53FA" w:rsidP="004F53FA">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5A7556">
        <w:rPr>
          <w:rFonts w:ascii="Verdana" w:hAnsi="Verdana"/>
          <w:sz w:val="20"/>
          <w:szCs w:val="20"/>
        </w:rPr>
        <w:t>22</w:t>
      </w:r>
      <w:r w:rsidRPr="001C6CAB">
        <w:rPr>
          <w:rFonts w:ascii="Verdana" w:hAnsi="Verdana"/>
          <w:sz w:val="20"/>
          <w:szCs w:val="20"/>
        </w:rPr>
        <w:t>.</w:t>
      </w:r>
    </w:p>
    <w:p w14:paraId="5CB90683" w14:textId="77777777" w:rsidR="002B3025" w:rsidRPr="002B3025" w:rsidRDefault="002B3025" w:rsidP="00B929BB">
      <w:pPr>
        <w:jc w:val="both"/>
        <w:rPr>
          <w:rFonts w:ascii="Verdana" w:hAnsi="Verdana" w:cs="Arial"/>
          <w:bCs/>
          <w:sz w:val="20"/>
          <w:szCs w:val="20"/>
        </w:rPr>
      </w:pPr>
      <w:r w:rsidRPr="002B3025">
        <w:rPr>
          <w:rFonts w:ascii="Verdana" w:hAnsi="Verdana" w:cs="Arial"/>
          <w:bCs/>
          <w:sz w:val="20"/>
          <w:szCs w:val="20"/>
        </w:rPr>
        <w:t>Para una adecuada cuantificación del RTILB y su impacto en el MNI y VEP, la entidad debe cumplir con los siguientes requisitos:</w:t>
      </w:r>
    </w:p>
    <w:p w14:paraId="29FC45D5" w14:textId="77777777" w:rsidR="002B3025" w:rsidRPr="002B3025" w:rsidRDefault="002B3025" w:rsidP="00634E67">
      <w:pPr>
        <w:pStyle w:val="Prrafodelista"/>
        <w:numPr>
          <w:ilvl w:val="0"/>
          <w:numId w:val="8"/>
        </w:numPr>
        <w:spacing w:after="0" w:line="240" w:lineRule="auto"/>
        <w:ind w:left="567" w:hanging="567"/>
        <w:contextualSpacing w:val="0"/>
        <w:jc w:val="both"/>
        <w:rPr>
          <w:rFonts w:ascii="Verdana" w:hAnsi="Verdana" w:cs="Arial"/>
          <w:bCs/>
          <w:sz w:val="20"/>
          <w:szCs w:val="20"/>
        </w:rPr>
      </w:pPr>
      <w:r w:rsidRPr="002B3025">
        <w:rPr>
          <w:rFonts w:ascii="Verdana" w:hAnsi="Verdana" w:cs="Arial"/>
          <w:bCs/>
          <w:sz w:val="20"/>
          <w:szCs w:val="20"/>
        </w:rPr>
        <w:t>Contar con una infraestructura (hardware y software) consistente con la naturaleza, tamaño, complejidad e importancia sistémica de la entidad, con las líneas de negocio o actividades significativas que desarrolle.</w:t>
      </w:r>
    </w:p>
    <w:p w14:paraId="7CA33FDF" w14:textId="77777777" w:rsidR="004042CA" w:rsidRDefault="004042CA" w:rsidP="004042CA">
      <w:pPr>
        <w:pStyle w:val="Prrafodelista"/>
        <w:spacing w:after="0" w:line="240" w:lineRule="auto"/>
        <w:ind w:left="567"/>
        <w:contextualSpacing w:val="0"/>
        <w:jc w:val="both"/>
        <w:rPr>
          <w:rFonts w:ascii="Verdana" w:hAnsi="Verdana" w:cs="Arial"/>
          <w:bCs/>
          <w:sz w:val="20"/>
          <w:szCs w:val="20"/>
        </w:rPr>
      </w:pPr>
    </w:p>
    <w:p w14:paraId="0B56D372" w14:textId="77777777" w:rsidR="004042CA" w:rsidRDefault="002B3025" w:rsidP="004042CA">
      <w:pPr>
        <w:pStyle w:val="Prrafodelista"/>
        <w:numPr>
          <w:ilvl w:val="0"/>
          <w:numId w:val="8"/>
        </w:numPr>
        <w:spacing w:after="0" w:line="240" w:lineRule="auto"/>
        <w:ind w:left="567" w:hanging="567"/>
        <w:contextualSpacing w:val="0"/>
        <w:jc w:val="both"/>
        <w:rPr>
          <w:rFonts w:ascii="Verdana" w:hAnsi="Verdana" w:cs="Arial"/>
          <w:bCs/>
          <w:sz w:val="20"/>
          <w:szCs w:val="20"/>
        </w:rPr>
      </w:pPr>
      <w:r w:rsidRPr="002B3025">
        <w:rPr>
          <w:rFonts w:ascii="Verdana" w:hAnsi="Verdana" w:cs="Arial"/>
          <w:bCs/>
          <w:sz w:val="20"/>
          <w:szCs w:val="20"/>
        </w:rPr>
        <w:t xml:space="preserve">Tener personal que cuente con los conocimientos y competencias técnicas suficientes para estimar y comprender el RTILB, incluido el RSCLB, de las operaciones del libro bancario de la entidad. </w:t>
      </w:r>
    </w:p>
    <w:p w14:paraId="1CFA6301" w14:textId="77777777" w:rsidR="004042CA" w:rsidRPr="004042CA" w:rsidRDefault="004042CA" w:rsidP="004042CA">
      <w:pPr>
        <w:pStyle w:val="Prrafodelista"/>
        <w:rPr>
          <w:rFonts w:ascii="Verdana" w:hAnsi="Verdana" w:cs="Arial"/>
          <w:bCs/>
          <w:sz w:val="20"/>
          <w:szCs w:val="20"/>
        </w:rPr>
      </w:pPr>
    </w:p>
    <w:p w14:paraId="27216866" w14:textId="77777777" w:rsidR="004042CA" w:rsidRDefault="002B3025" w:rsidP="004042CA">
      <w:pPr>
        <w:pStyle w:val="Prrafodelista"/>
        <w:numPr>
          <w:ilvl w:val="0"/>
          <w:numId w:val="8"/>
        </w:numPr>
        <w:spacing w:after="0" w:line="240" w:lineRule="auto"/>
        <w:ind w:left="567" w:hanging="567"/>
        <w:contextualSpacing w:val="0"/>
        <w:jc w:val="both"/>
        <w:rPr>
          <w:rFonts w:ascii="Verdana" w:hAnsi="Verdana" w:cs="Arial"/>
          <w:bCs/>
          <w:sz w:val="20"/>
          <w:szCs w:val="20"/>
        </w:rPr>
      </w:pPr>
      <w:r w:rsidRPr="004042CA">
        <w:rPr>
          <w:rFonts w:ascii="Verdana" w:hAnsi="Verdana" w:cs="Arial"/>
          <w:bCs/>
          <w:sz w:val="20"/>
          <w:szCs w:val="20"/>
        </w:rPr>
        <w:t>Incluir todas las posiciones activas, pasivas dentro y fuera de balance sensibles al riesgo de tasa de interés, excluyendo las posiciones que formen parte del libro de tesorería.</w:t>
      </w:r>
    </w:p>
    <w:p w14:paraId="47AEE653" w14:textId="77777777" w:rsidR="004042CA" w:rsidRPr="004042CA" w:rsidRDefault="004042CA" w:rsidP="004042CA">
      <w:pPr>
        <w:pStyle w:val="Prrafodelista"/>
        <w:rPr>
          <w:rFonts w:ascii="Verdana" w:hAnsi="Verdana" w:cs="Arial"/>
          <w:bCs/>
          <w:sz w:val="20"/>
          <w:szCs w:val="20"/>
        </w:rPr>
      </w:pPr>
    </w:p>
    <w:p w14:paraId="13962226" w14:textId="77777777" w:rsidR="004042CA" w:rsidRDefault="002B3025" w:rsidP="004042CA">
      <w:pPr>
        <w:pStyle w:val="Prrafodelista"/>
        <w:numPr>
          <w:ilvl w:val="0"/>
          <w:numId w:val="8"/>
        </w:numPr>
        <w:spacing w:after="0" w:line="240" w:lineRule="auto"/>
        <w:ind w:left="567" w:hanging="567"/>
        <w:contextualSpacing w:val="0"/>
        <w:jc w:val="both"/>
        <w:rPr>
          <w:rFonts w:ascii="Verdana" w:hAnsi="Verdana" w:cs="Arial"/>
          <w:bCs/>
          <w:sz w:val="20"/>
          <w:szCs w:val="20"/>
        </w:rPr>
      </w:pPr>
      <w:r w:rsidRPr="004042CA">
        <w:rPr>
          <w:rFonts w:ascii="Verdana" w:hAnsi="Verdana" w:cs="Arial"/>
          <w:bCs/>
          <w:sz w:val="20"/>
          <w:szCs w:val="20"/>
        </w:rPr>
        <w:t xml:space="preserve">Capturar las principales fuentes del RTILB a las cuales esté expuesta la entidad. </w:t>
      </w:r>
    </w:p>
    <w:p w14:paraId="01A8C4AE" w14:textId="77777777" w:rsidR="004042CA" w:rsidRPr="004042CA" w:rsidRDefault="004042CA" w:rsidP="004042CA">
      <w:pPr>
        <w:pStyle w:val="Prrafodelista"/>
        <w:rPr>
          <w:rFonts w:ascii="Verdana" w:hAnsi="Verdana" w:cs="Arial"/>
          <w:bCs/>
          <w:sz w:val="20"/>
          <w:szCs w:val="20"/>
        </w:rPr>
      </w:pPr>
    </w:p>
    <w:p w14:paraId="12B2BFF1" w14:textId="77777777" w:rsidR="004042CA" w:rsidRDefault="002B3025" w:rsidP="004042CA">
      <w:pPr>
        <w:pStyle w:val="Prrafodelista"/>
        <w:numPr>
          <w:ilvl w:val="0"/>
          <w:numId w:val="8"/>
        </w:numPr>
        <w:spacing w:after="0" w:line="240" w:lineRule="auto"/>
        <w:ind w:left="567" w:hanging="567"/>
        <w:contextualSpacing w:val="0"/>
        <w:jc w:val="both"/>
        <w:rPr>
          <w:rFonts w:ascii="Verdana" w:hAnsi="Verdana" w:cs="Arial"/>
          <w:bCs/>
          <w:sz w:val="20"/>
          <w:szCs w:val="20"/>
        </w:rPr>
      </w:pPr>
      <w:r w:rsidRPr="004042CA">
        <w:rPr>
          <w:rFonts w:ascii="Verdana" w:hAnsi="Verdana" w:cs="Arial"/>
          <w:bCs/>
          <w:sz w:val="20"/>
          <w:szCs w:val="20"/>
        </w:rPr>
        <w:lastRenderedPageBreak/>
        <w:t>Incluir todos los productos con riesgo de opcionalidad expuestos a este riesgo y definir las expectativas para el ejercicio de opciones de tasas de interés (explícitas e implícitas) tanto por parte de la entidad como de sus clientes, bajo escenarios de estrés y choques de tasa de interés específicos.</w:t>
      </w:r>
    </w:p>
    <w:p w14:paraId="6E7A4735" w14:textId="77777777" w:rsidR="004042CA" w:rsidRPr="004042CA" w:rsidRDefault="004042CA" w:rsidP="004042CA">
      <w:pPr>
        <w:pStyle w:val="Prrafodelista"/>
        <w:rPr>
          <w:rFonts w:ascii="Verdana" w:hAnsi="Verdana" w:cs="Arial"/>
          <w:bCs/>
          <w:sz w:val="20"/>
          <w:szCs w:val="20"/>
        </w:rPr>
      </w:pPr>
    </w:p>
    <w:p w14:paraId="04B91DAE" w14:textId="18B6DFC3" w:rsidR="004042CA" w:rsidRDefault="002B3025" w:rsidP="004042CA">
      <w:pPr>
        <w:pStyle w:val="Prrafodelista"/>
        <w:numPr>
          <w:ilvl w:val="0"/>
          <w:numId w:val="8"/>
        </w:numPr>
        <w:spacing w:after="0" w:line="240" w:lineRule="auto"/>
        <w:ind w:left="567" w:hanging="567"/>
        <w:contextualSpacing w:val="0"/>
        <w:jc w:val="both"/>
        <w:rPr>
          <w:rFonts w:ascii="Verdana" w:hAnsi="Verdana" w:cs="Arial"/>
          <w:bCs/>
          <w:sz w:val="20"/>
          <w:szCs w:val="20"/>
        </w:rPr>
      </w:pPr>
      <w:r w:rsidRPr="004042CA">
        <w:rPr>
          <w:rFonts w:ascii="Verdana" w:hAnsi="Verdana" w:cs="Arial"/>
          <w:bCs/>
          <w:sz w:val="20"/>
          <w:szCs w:val="20"/>
        </w:rPr>
        <w:t xml:space="preserve">Realizar pruebas de estrés bajo diferentes escenarios de tasas de interés e incluirlos en la gestión </w:t>
      </w:r>
      <w:r w:rsidR="004C0989">
        <w:rPr>
          <w:rFonts w:ascii="Verdana" w:hAnsi="Verdana" w:cs="Arial"/>
          <w:bCs/>
          <w:sz w:val="20"/>
          <w:szCs w:val="20"/>
        </w:rPr>
        <w:t xml:space="preserve">y en el proceso de </w:t>
      </w:r>
      <w:r w:rsidR="00AF7C1F">
        <w:rPr>
          <w:rFonts w:ascii="Verdana" w:hAnsi="Verdana" w:cs="Arial"/>
          <w:bCs/>
          <w:sz w:val="20"/>
          <w:szCs w:val="20"/>
        </w:rPr>
        <w:t>auto</w:t>
      </w:r>
      <w:r w:rsidRPr="004042CA">
        <w:rPr>
          <w:rFonts w:ascii="Verdana" w:eastAsiaTheme="minorEastAsia" w:hAnsi="Verdana" w:cs="Arial"/>
          <w:bCs/>
          <w:sz w:val="20"/>
          <w:szCs w:val="20"/>
        </w:rPr>
        <w:t>evaluación de suficiencia de capital</w:t>
      </w:r>
      <w:r w:rsidRPr="004042CA">
        <w:rPr>
          <w:rFonts w:ascii="Verdana" w:hAnsi="Verdana" w:cs="Arial"/>
          <w:bCs/>
          <w:sz w:val="20"/>
          <w:szCs w:val="20"/>
        </w:rPr>
        <w:t>. Tales resultados deben involucrarse en la gestión diaria de la entidad y mantenerse a disposición de la SFC.</w:t>
      </w:r>
    </w:p>
    <w:p w14:paraId="4CB4438C" w14:textId="77777777" w:rsidR="004042CA" w:rsidRPr="004042CA" w:rsidRDefault="004042CA" w:rsidP="004042CA">
      <w:pPr>
        <w:pStyle w:val="Prrafodelista"/>
        <w:rPr>
          <w:rFonts w:ascii="Verdana" w:hAnsi="Verdana" w:cs="Arial"/>
          <w:bCs/>
          <w:sz w:val="20"/>
          <w:szCs w:val="20"/>
        </w:rPr>
      </w:pPr>
    </w:p>
    <w:p w14:paraId="346E4404" w14:textId="77777777" w:rsidR="004042CA" w:rsidRDefault="002B3025" w:rsidP="004042CA">
      <w:pPr>
        <w:pStyle w:val="Prrafodelista"/>
        <w:numPr>
          <w:ilvl w:val="0"/>
          <w:numId w:val="8"/>
        </w:numPr>
        <w:spacing w:after="0" w:line="240" w:lineRule="auto"/>
        <w:ind w:left="567" w:hanging="567"/>
        <w:contextualSpacing w:val="0"/>
        <w:jc w:val="both"/>
        <w:rPr>
          <w:rFonts w:ascii="Verdana" w:hAnsi="Verdana" w:cs="Arial"/>
          <w:bCs/>
          <w:sz w:val="20"/>
          <w:szCs w:val="20"/>
        </w:rPr>
      </w:pPr>
      <w:r w:rsidRPr="004042CA">
        <w:rPr>
          <w:rFonts w:ascii="Verdana" w:hAnsi="Verdana" w:cs="Arial"/>
          <w:bCs/>
          <w:sz w:val="20"/>
          <w:szCs w:val="20"/>
        </w:rPr>
        <w:t>Permitir la estimación de la exposición al RTILB y su efecto en el VEP y MNI, en el escenario base y en el escenario adverso o frente a múltiples escenarios estresados históricos e hipotéticos, según corresponda a la metodología estándar o al modelo interno, respectivamente.</w:t>
      </w:r>
    </w:p>
    <w:p w14:paraId="05342EB7" w14:textId="77777777" w:rsidR="004042CA" w:rsidRPr="004042CA" w:rsidRDefault="004042CA" w:rsidP="004042CA">
      <w:pPr>
        <w:pStyle w:val="Prrafodelista"/>
        <w:rPr>
          <w:rFonts w:ascii="Verdana" w:hAnsi="Verdana" w:cs="Arial"/>
          <w:bCs/>
          <w:sz w:val="20"/>
          <w:szCs w:val="20"/>
        </w:rPr>
      </w:pPr>
    </w:p>
    <w:p w14:paraId="456C2E79" w14:textId="77777777" w:rsidR="004042CA" w:rsidRDefault="002B3025" w:rsidP="004042CA">
      <w:pPr>
        <w:pStyle w:val="Prrafodelista"/>
        <w:numPr>
          <w:ilvl w:val="0"/>
          <w:numId w:val="8"/>
        </w:numPr>
        <w:spacing w:after="0" w:line="240" w:lineRule="auto"/>
        <w:ind w:left="567" w:hanging="567"/>
        <w:contextualSpacing w:val="0"/>
        <w:jc w:val="both"/>
        <w:rPr>
          <w:rFonts w:ascii="Verdana" w:hAnsi="Verdana" w:cs="Arial"/>
          <w:bCs/>
          <w:sz w:val="20"/>
          <w:szCs w:val="20"/>
        </w:rPr>
      </w:pPr>
      <w:r w:rsidRPr="004042CA">
        <w:rPr>
          <w:rFonts w:ascii="Verdana" w:hAnsi="Verdana" w:cs="Arial"/>
          <w:bCs/>
          <w:sz w:val="20"/>
          <w:szCs w:val="20"/>
        </w:rPr>
        <w:t xml:space="preserve">Emplear los escenarios de choque de tasas de interés previstos en la metodología estándar y/o los diseñados en el modelo interno que abordan el perfil de riesgo de la entidad. </w:t>
      </w:r>
    </w:p>
    <w:p w14:paraId="623F9F36" w14:textId="77777777" w:rsidR="004042CA" w:rsidRPr="004042CA" w:rsidRDefault="004042CA" w:rsidP="004042CA">
      <w:pPr>
        <w:pStyle w:val="Prrafodelista"/>
        <w:rPr>
          <w:rFonts w:ascii="Verdana" w:hAnsi="Verdana" w:cs="Arial"/>
          <w:bCs/>
          <w:sz w:val="20"/>
          <w:szCs w:val="20"/>
        </w:rPr>
      </w:pPr>
    </w:p>
    <w:p w14:paraId="09CD7A14" w14:textId="77777777" w:rsidR="004042CA" w:rsidRDefault="002B3025" w:rsidP="004042CA">
      <w:pPr>
        <w:pStyle w:val="Prrafodelista"/>
        <w:numPr>
          <w:ilvl w:val="0"/>
          <w:numId w:val="8"/>
        </w:numPr>
        <w:spacing w:after="0" w:line="240" w:lineRule="auto"/>
        <w:ind w:left="567" w:hanging="567"/>
        <w:contextualSpacing w:val="0"/>
        <w:jc w:val="both"/>
        <w:rPr>
          <w:rFonts w:ascii="Verdana" w:hAnsi="Verdana" w:cs="Arial"/>
          <w:bCs/>
          <w:sz w:val="20"/>
          <w:szCs w:val="20"/>
        </w:rPr>
      </w:pPr>
      <w:r w:rsidRPr="004042CA">
        <w:rPr>
          <w:rFonts w:ascii="Verdana" w:hAnsi="Verdana" w:cs="Arial"/>
          <w:bCs/>
          <w:sz w:val="20"/>
          <w:szCs w:val="20"/>
        </w:rPr>
        <w:t>Incluir el efecto de los cambios súbitos en las tasas de interés o de la liquidez del mercado que pueden distorsionar las coberturas de tasa de interés con las que cuenta la entidad.</w:t>
      </w:r>
    </w:p>
    <w:p w14:paraId="2AD10EDC" w14:textId="77777777" w:rsidR="004042CA" w:rsidRPr="004042CA" w:rsidRDefault="004042CA" w:rsidP="004042CA">
      <w:pPr>
        <w:pStyle w:val="Prrafodelista"/>
        <w:rPr>
          <w:rFonts w:ascii="Verdana" w:hAnsi="Verdana" w:cs="Arial"/>
          <w:sz w:val="20"/>
          <w:szCs w:val="20"/>
        </w:rPr>
      </w:pPr>
    </w:p>
    <w:p w14:paraId="68F0FD93" w14:textId="05EA3D8A" w:rsidR="004042CA" w:rsidRPr="004042CA" w:rsidRDefault="002B3025" w:rsidP="004042CA">
      <w:pPr>
        <w:pStyle w:val="Prrafodelista"/>
        <w:numPr>
          <w:ilvl w:val="0"/>
          <w:numId w:val="8"/>
        </w:numPr>
        <w:spacing w:after="0" w:line="240" w:lineRule="auto"/>
        <w:ind w:left="567" w:hanging="567"/>
        <w:contextualSpacing w:val="0"/>
        <w:jc w:val="both"/>
        <w:rPr>
          <w:rFonts w:ascii="Verdana" w:hAnsi="Verdana" w:cs="Arial"/>
          <w:bCs/>
          <w:sz w:val="20"/>
          <w:szCs w:val="20"/>
        </w:rPr>
      </w:pPr>
      <w:r w:rsidRPr="004042CA">
        <w:rPr>
          <w:rFonts w:ascii="Verdana" w:hAnsi="Verdana" w:cs="Arial"/>
          <w:sz w:val="20"/>
          <w:szCs w:val="20"/>
        </w:rPr>
        <w:t>Realizar el análisis de los saldos y de los flujos de los intereses derivados de los depósitos a plazo y de los NMD, así como de los préstamos con opción de prepago, compromisos de crédito y los depósitos a plazo fijo con riesgo de amortización anticipada.</w:t>
      </w:r>
    </w:p>
    <w:p w14:paraId="003CE84B" w14:textId="77777777" w:rsidR="004042CA" w:rsidRPr="004042CA" w:rsidRDefault="004042CA" w:rsidP="004042CA">
      <w:pPr>
        <w:pStyle w:val="Prrafodelista"/>
        <w:rPr>
          <w:rFonts w:ascii="Verdana" w:hAnsi="Verdana" w:cs="Arial"/>
          <w:bCs/>
          <w:sz w:val="20"/>
          <w:szCs w:val="20"/>
        </w:rPr>
      </w:pPr>
    </w:p>
    <w:p w14:paraId="6D892047" w14:textId="77777777" w:rsidR="004042CA" w:rsidRDefault="002B3025" w:rsidP="004042CA">
      <w:pPr>
        <w:pStyle w:val="Prrafodelista"/>
        <w:numPr>
          <w:ilvl w:val="0"/>
          <w:numId w:val="8"/>
        </w:numPr>
        <w:spacing w:after="0" w:line="240" w:lineRule="auto"/>
        <w:ind w:left="567" w:hanging="567"/>
        <w:contextualSpacing w:val="0"/>
        <w:jc w:val="both"/>
        <w:rPr>
          <w:rFonts w:ascii="Verdana" w:hAnsi="Verdana" w:cs="Arial"/>
          <w:bCs/>
          <w:sz w:val="20"/>
          <w:szCs w:val="20"/>
        </w:rPr>
      </w:pPr>
      <w:r w:rsidRPr="004042CA">
        <w:rPr>
          <w:rFonts w:ascii="Verdana" w:hAnsi="Verdana" w:cs="Arial"/>
          <w:bCs/>
          <w:sz w:val="20"/>
          <w:szCs w:val="20"/>
        </w:rPr>
        <w:t>Definir y documentar las implicaciones de las prácticas contables.</w:t>
      </w:r>
    </w:p>
    <w:p w14:paraId="40A83E73" w14:textId="77777777" w:rsidR="004042CA" w:rsidRPr="004042CA" w:rsidRDefault="004042CA" w:rsidP="004042CA">
      <w:pPr>
        <w:pStyle w:val="Prrafodelista"/>
        <w:rPr>
          <w:rFonts w:ascii="Verdana" w:hAnsi="Verdana" w:cs="Arial"/>
          <w:bCs/>
          <w:sz w:val="20"/>
          <w:szCs w:val="20"/>
        </w:rPr>
      </w:pPr>
    </w:p>
    <w:p w14:paraId="6D3CD3CB" w14:textId="5BDC0C4C" w:rsidR="004042CA" w:rsidRDefault="002B3025" w:rsidP="004042CA">
      <w:pPr>
        <w:pStyle w:val="Prrafodelista"/>
        <w:numPr>
          <w:ilvl w:val="0"/>
          <w:numId w:val="8"/>
        </w:numPr>
        <w:spacing w:after="0" w:line="240" w:lineRule="auto"/>
        <w:ind w:left="567" w:hanging="567"/>
        <w:contextualSpacing w:val="0"/>
        <w:jc w:val="both"/>
        <w:rPr>
          <w:rFonts w:ascii="Verdana" w:hAnsi="Verdana" w:cs="Arial"/>
          <w:bCs/>
          <w:sz w:val="20"/>
          <w:szCs w:val="20"/>
        </w:rPr>
      </w:pPr>
      <w:r w:rsidRPr="004042CA">
        <w:rPr>
          <w:rFonts w:ascii="Verdana" w:hAnsi="Verdana" w:cs="Arial"/>
          <w:bCs/>
          <w:sz w:val="20"/>
          <w:szCs w:val="20"/>
        </w:rPr>
        <w:t>Realizar una adecuada valoración y seguimiento de los instrumentos de cobertura aprobadas para mitigar el RTILB.</w:t>
      </w:r>
    </w:p>
    <w:p w14:paraId="51960CA7" w14:textId="77777777" w:rsidR="004042CA" w:rsidRPr="004042CA" w:rsidRDefault="004042CA" w:rsidP="004042CA">
      <w:pPr>
        <w:pStyle w:val="Prrafodelista"/>
        <w:rPr>
          <w:rFonts w:ascii="Verdana" w:hAnsi="Verdana" w:cs="Arial"/>
          <w:bCs/>
          <w:sz w:val="20"/>
          <w:szCs w:val="20"/>
        </w:rPr>
      </w:pPr>
    </w:p>
    <w:p w14:paraId="6687BCA0" w14:textId="77777777" w:rsidR="004042CA" w:rsidRDefault="002B3025" w:rsidP="00B929BB">
      <w:pPr>
        <w:pStyle w:val="Prrafodelista"/>
        <w:numPr>
          <w:ilvl w:val="0"/>
          <w:numId w:val="8"/>
        </w:numPr>
        <w:spacing w:after="0" w:line="240" w:lineRule="auto"/>
        <w:ind w:left="567" w:hanging="567"/>
        <w:jc w:val="both"/>
        <w:rPr>
          <w:rFonts w:ascii="Verdana" w:hAnsi="Verdana" w:cs="Arial"/>
          <w:bCs/>
          <w:sz w:val="20"/>
          <w:szCs w:val="20"/>
        </w:rPr>
      </w:pPr>
      <w:r w:rsidRPr="004042CA">
        <w:rPr>
          <w:rFonts w:ascii="Verdana" w:hAnsi="Verdana" w:cs="Arial"/>
          <w:bCs/>
          <w:sz w:val="20"/>
          <w:szCs w:val="20"/>
        </w:rPr>
        <w:t>Validar la consistencia de los supuestos de diversificación de riesgo aprobado</w:t>
      </w:r>
      <w:r w:rsidR="004042CA" w:rsidRPr="004042CA">
        <w:rPr>
          <w:rFonts w:ascii="Verdana" w:hAnsi="Verdana" w:cs="Arial"/>
          <w:bCs/>
          <w:sz w:val="20"/>
          <w:szCs w:val="20"/>
        </w:rPr>
        <w:t>.</w:t>
      </w:r>
    </w:p>
    <w:p w14:paraId="005C3D99" w14:textId="77777777" w:rsidR="004042CA" w:rsidRPr="004042CA" w:rsidRDefault="004042CA" w:rsidP="004042CA">
      <w:pPr>
        <w:pStyle w:val="Prrafodelista"/>
        <w:rPr>
          <w:rFonts w:ascii="Verdana" w:hAnsi="Verdana" w:cs="Arial"/>
          <w:bCs/>
          <w:sz w:val="20"/>
          <w:szCs w:val="20"/>
        </w:rPr>
      </w:pPr>
    </w:p>
    <w:p w14:paraId="1EF7E145" w14:textId="068CE707" w:rsidR="002B3025" w:rsidRPr="004042CA" w:rsidRDefault="002B3025" w:rsidP="00551D66">
      <w:pPr>
        <w:pStyle w:val="Prrafodelista"/>
        <w:numPr>
          <w:ilvl w:val="0"/>
          <w:numId w:val="39"/>
        </w:numPr>
        <w:spacing w:after="0" w:line="240" w:lineRule="auto"/>
        <w:ind w:left="284" w:hanging="284"/>
        <w:jc w:val="both"/>
        <w:rPr>
          <w:rFonts w:ascii="Verdana" w:hAnsi="Verdana" w:cs="Arial"/>
          <w:b/>
          <w:sz w:val="20"/>
          <w:szCs w:val="20"/>
        </w:rPr>
      </w:pPr>
      <w:r w:rsidRPr="004042CA">
        <w:rPr>
          <w:rFonts w:ascii="Verdana" w:hAnsi="Verdana" w:cs="Arial"/>
          <w:b/>
          <w:sz w:val="20"/>
          <w:szCs w:val="20"/>
        </w:rPr>
        <w:t>Modelos internos para no objeción de la SFC</w:t>
      </w:r>
    </w:p>
    <w:p w14:paraId="2689D5DB" w14:textId="77777777" w:rsidR="002B3025" w:rsidRDefault="002B3025" w:rsidP="00B929BB">
      <w:pPr>
        <w:contextualSpacing/>
        <w:jc w:val="both"/>
        <w:rPr>
          <w:rFonts w:ascii="Verdana" w:hAnsi="Verdana" w:cs="Arial"/>
          <w:bCs/>
          <w:sz w:val="20"/>
          <w:szCs w:val="20"/>
        </w:rPr>
      </w:pPr>
    </w:p>
    <w:p w14:paraId="3A80B8AE" w14:textId="31E62E9F" w:rsidR="00F42098" w:rsidRPr="001C6CAB" w:rsidRDefault="00F42098" w:rsidP="00F42098">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5A7556">
        <w:rPr>
          <w:rFonts w:ascii="Verdana" w:hAnsi="Verdana"/>
          <w:sz w:val="20"/>
          <w:szCs w:val="20"/>
        </w:rPr>
        <w:t>23</w:t>
      </w:r>
      <w:r w:rsidRPr="001C6CAB">
        <w:rPr>
          <w:rFonts w:ascii="Verdana" w:hAnsi="Verdana"/>
          <w:sz w:val="20"/>
          <w:szCs w:val="20"/>
        </w:rPr>
        <w:t>.</w:t>
      </w:r>
    </w:p>
    <w:p w14:paraId="10DDF878" w14:textId="61EA571D" w:rsidR="002B3025" w:rsidRPr="002B3025" w:rsidRDefault="002B3025" w:rsidP="12B437D6">
      <w:pPr>
        <w:contextualSpacing/>
        <w:jc w:val="both"/>
        <w:rPr>
          <w:rFonts w:ascii="Verdana" w:hAnsi="Verdana" w:cs="Arial"/>
          <w:sz w:val="20"/>
          <w:szCs w:val="20"/>
        </w:rPr>
      </w:pPr>
      <w:r w:rsidRPr="12B437D6">
        <w:rPr>
          <w:rFonts w:ascii="Verdana" w:hAnsi="Verdana" w:cs="Arial"/>
          <w:sz w:val="20"/>
          <w:szCs w:val="20"/>
        </w:rPr>
        <w:t xml:space="preserve">La entidad que presente modelos internos ante la SFC para no objeción deberá verificar que éstos cumplen con todos los requisitos de gestión del RTILB previstos en el presente </w:t>
      </w:r>
      <w:r w:rsidR="00C5556D">
        <w:rPr>
          <w:rFonts w:ascii="Verdana" w:hAnsi="Verdana" w:cs="Arial"/>
          <w:sz w:val="20"/>
          <w:szCs w:val="20"/>
        </w:rPr>
        <w:t>c</w:t>
      </w:r>
      <w:r w:rsidRPr="12B437D6">
        <w:rPr>
          <w:rFonts w:ascii="Verdana" w:hAnsi="Verdana" w:cs="Arial"/>
          <w:sz w:val="20"/>
          <w:szCs w:val="20"/>
        </w:rPr>
        <w:t>apítulo y contar con metodologías cuantitativas para la estimación de la exposición al RTILB, incluido el RSCLB, tanto en el MNI como en el VEP.</w:t>
      </w:r>
    </w:p>
    <w:p w14:paraId="2E91D921" w14:textId="77777777" w:rsidR="002B3025" w:rsidRDefault="002B3025" w:rsidP="00B929BB">
      <w:pPr>
        <w:contextualSpacing/>
        <w:jc w:val="both"/>
        <w:rPr>
          <w:rFonts w:ascii="Verdana" w:hAnsi="Verdana" w:cs="Arial"/>
          <w:bCs/>
          <w:sz w:val="20"/>
          <w:szCs w:val="20"/>
        </w:rPr>
      </w:pPr>
    </w:p>
    <w:p w14:paraId="6C97F263" w14:textId="07A7D24F" w:rsidR="00F42098" w:rsidRPr="001C6CAB" w:rsidRDefault="00F42098" w:rsidP="00F42098">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5A7556">
        <w:rPr>
          <w:rFonts w:ascii="Verdana" w:hAnsi="Verdana"/>
          <w:sz w:val="20"/>
          <w:szCs w:val="20"/>
        </w:rPr>
        <w:t>24</w:t>
      </w:r>
      <w:r w:rsidRPr="001C6CAB">
        <w:rPr>
          <w:rFonts w:ascii="Verdana" w:hAnsi="Verdana"/>
          <w:sz w:val="20"/>
          <w:szCs w:val="20"/>
        </w:rPr>
        <w:t>.</w:t>
      </w:r>
    </w:p>
    <w:p w14:paraId="2C43900B" w14:textId="77777777" w:rsidR="002B3025" w:rsidRPr="002B3025" w:rsidRDefault="002B3025" w:rsidP="00B929BB">
      <w:pPr>
        <w:contextualSpacing/>
        <w:jc w:val="both"/>
        <w:rPr>
          <w:rFonts w:ascii="Verdana" w:hAnsi="Verdana" w:cs="Arial"/>
          <w:bCs/>
          <w:sz w:val="20"/>
          <w:szCs w:val="20"/>
        </w:rPr>
      </w:pPr>
      <w:r w:rsidRPr="004042CA">
        <w:rPr>
          <w:rFonts w:ascii="Verdana" w:hAnsi="Verdana" w:cs="Arial"/>
          <w:bCs/>
          <w:sz w:val="20"/>
          <w:szCs w:val="20"/>
        </w:rPr>
        <w:t>Para lo anterior, la entidad debe tener en cuenta</w:t>
      </w:r>
      <w:r w:rsidRPr="002B3025">
        <w:rPr>
          <w:rFonts w:ascii="Verdana" w:hAnsi="Verdana" w:cs="Arial"/>
          <w:bCs/>
          <w:sz w:val="20"/>
          <w:szCs w:val="20"/>
        </w:rPr>
        <w:t xml:space="preserve"> las siguientes consideraciones y factores de riesgo:</w:t>
      </w:r>
    </w:p>
    <w:p w14:paraId="52017603" w14:textId="77777777" w:rsidR="00690247" w:rsidRDefault="00690247" w:rsidP="00690247">
      <w:pPr>
        <w:spacing w:after="0" w:line="240" w:lineRule="auto"/>
        <w:jc w:val="both"/>
        <w:rPr>
          <w:rFonts w:ascii="Verdana" w:hAnsi="Verdana" w:cs="Arial"/>
          <w:bCs/>
          <w:sz w:val="20"/>
          <w:szCs w:val="20"/>
        </w:rPr>
      </w:pPr>
    </w:p>
    <w:p w14:paraId="2939AFD2" w14:textId="5762292F" w:rsidR="002B3025" w:rsidRPr="004042CA" w:rsidRDefault="002B3025" w:rsidP="00551D66">
      <w:pPr>
        <w:pStyle w:val="Prrafodelista"/>
        <w:numPr>
          <w:ilvl w:val="0"/>
          <w:numId w:val="40"/>
        </w:numPr>
        <w:spacing w:after="0" w:line="240" w:lineRule="auto"/>
        <w:ind w:left="567" w:hanging="283"/>
        <w:jc w:val="both"/>
        <w:rPr>
          <w:rFonts w:ascii="Verdana" w:hAnsi="Verdana" w:cs="Arial"/>
          <w:b/>
          <w:sz w:val="20"/>
          <w:szCs w:val="20"/>
        </w:rPr>
      </w:pPr>
      <w:r w:rsidRPr="004042CA">
        <w:rPr>
          <w:rFonts w:ascii="Verdana" w:hAnsi="Verdana" w:cs="Arial"/>
          <w:b/>
          <w:sz w:val="20"/>
          <w:szCs w:val="20"/>
        </w:rPr>
        <w:t>Enfoque general y métodos</w:t>
      </w:r>
    </w:p>
    <w:p w14:paraId="251AD253" w14:textId="77777777" w:rsidR="002B3025" w:rsidRPr="002B3025" w:rsidDel="00EC6472" w:rsidRDefault="002B3025" w:rsidP="00B929BB">
      <w:pPr>
        <w:contextualSpacing/>
        <w:jc w:val="both"/>
        <w:rPr>
          <w:rFonts w:ascii="Verdana" w:hAnsi="Verdana" w:cs="Arial"/>
          <w:bCs/>
          <w:sz w:val="20"/>
          <w:szCs w:val="20"/>
        </w:rPr>
      </w:pPr>
    </w:p>
    <w:p w14:paraId="21990744" w14:textId="42583DD0" w:rsidR="00ED38FD" w:rsidRPr="001C6CAB" w:rsidRDefault="00ED38FD" w:rsidP="00ED38FD">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5A7556">
        <w:rPr>
          <w:rFonts w:ascii="Verdana" w:hAnsi="Verdana"/>
          <w:sz w:val="20"/>
          <w:szCs w:val="20"/>
        </w:rPr>
        <w:t>25</w:t>
      </w:r>
      <w:r w:rsidRPr="001C6CAB">
        <w:rPr>
          <w:rFonts w:ascii="Verdana" w:hAnsi="Verdana"/>
          <w:sz w:val="20"/>
          <w:szCs w:val="20"/>
        </w:rPr>
        <w:t>.</w:t>
      </w:r>
    </w:p>
    <w:p w14:paraId="11037520" w14:textId="2987CED4" w:rsidR="002B3025" w:rsidRPr="00ED38FD" w:rsidRDefault="002B3025" w:rsidP="12B437D6">
      <w:pPr>
        <w:tabs>
          <w:tab w:val="left" w:pos="567"/>
        </w:tabs>
        <w:spacing w:after="0" w:line="240" w:lineRule="auto"/>
        <w:jc w:val="both"/>
        <w:rPr>
          <w:rFonts w:ascii="Verdana" w:hAnsi="Verdana" w:cs="Arial"/>
          <w:sz w:val="20"/>
          <w:szCs w:val="20"/>
        </w:rPr>
      </w:pPr>
      <w:r w:rsidRPr="12B437D6">
        <w:rPr>
          <w:rFonts w:ascii="Verdana" w:hAnsi="Verdana" w:cs="Arial"/>
          <w:sz w:val="20"/>
          <w:szCs w:val="20"/>
        </w:rPr>
        <w:t xml:space="preserve">Utilizar al menos una medida basada en el MNI y una medida basada en el VEP para la medición del RTILB, incluido el RSCLB, métricas que combinadas deben capturar todos los componentes y fuentes del riesgo que sean relevantes para su modelo de negocio. La entidad con un modelo de negocio complejo o sofisticado y/o con operaciones en el exterior debe utilizar múltiples métodos de medición. Para el efecto debe implementar sistemas de gestión robustos que capturen todos los componentes y fuentes de riesgo, usando la variedad de herramientas y modelos cuantitativos que le permitan realizar la mejor estimación de su exposición específica al RTILB y al RSCLB. </w:t>
      </w:r>
    </w:p>
    <w:p w14:paraId="02889871" w14:textId="77777777" w:rsidR="00ED38FD" w:rsidRPr="002B3025" w:rsidRDefault="00ED38FD" w:rsidP="00ED38FD">
      <w:pPr>
        <w:pStyle w:val="Prrafodelista"/>
        <w:tabs>
          <w:tab w:val="left" w:pos="567"/>
        </w:tabs>
        <w:spacing w:after="0" w:line="240" w:lineRule="auto"/>
        <w:ind w:left="284"/>
        <w:jc w:val="both"/>
        <w:rPr>
          <w:rFonts w:ascii="Verdana" w:hAnsi="Verdana" w:cs="Arial"/>
          <w:bCs/>
          <w:sz w:val="20"/>
          <w:szCs w:val="20"/>
        </w:rPr>
      </w:pPr>
    </w:p>
    <w:p w14:paraId="3736111A" w14:textId="156714BE" w:rsidR="00ED38FD" w:rsidRPr="001C6CAB" w:rsidRDefault="00ED38FD" w:rsidP="00ED38FD">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5A7556">
        <w:rPr>
          <w:rFonts w:ascii="Verdana" w:hAnsi="Verdana"/>
          <w:sz w:val="20"/>
          <w:szCs w:val="20"/>
        </w:rPr>
        <w:t>26</w:t>
      </w:r>
      <w:r w:rsidRPr="001C6CAB">
        <w:rPr>
          <w:rFonts w:ascii="Verdana" w:hAnsi="Verdana"/>
          <w:sz w:val="20"/>
          <w:szCs w:val="20"/>
        </w:rPr>
        <w:t>.</w:t>
      </w:r>
    </w:p>
    <w:p w14:paraId="4CB0FE3A" w14:textId="290B249F" w:rsidR="002B3025" w:rsidRPr="00ED38FD" w:rsidRDefault="002B3025" w:rsidP="00ED38FD">
      <w:pPr>
        <w:tabs>
          <w:tab w:val="left" w:pos="567"/>
        </w:tabs>
        <w:spacing w:after="0" w:line="240" w:lineRule="auto"/>
        <w:jc w:val="both"/>
        <w:rPr>
          <w:rFonts w:ascii="Verdana" w:hAnsi="Verdana" w:cs="Arial"/>
          <w:bCs/>
          <w:sz w:val="20"/>
          <w:szCs w:val="20"/>
        </w:rPr>
      </w:pPr>
      <w:r w:rsidRPr="00ED38FD">
        <w:rPr>
          <w:rFonts w:ascii="Verdana" w:hAnsi="Verdana" w:cs="Arial"/>
          <w:bCs/>
          <w:sz w:val="20"/>
          <w:szCs w:val="20"/>
          <w:lang w:val="es-ES"/>
        </w:rPr>
        <w:t>Probar la idoneidad de los supuestos clave de comportamiento y documentar todos los cambios en los supuestos de tales parámetros.</w:t>
      </w:r>
    </w:p>
    <w:p w14:paraId="72D26138" w14:textId="77777777" w:rsidR="00ED38FD" w:rsidRPr="002B3025" w:rsidRDefault="00ED38FD" w:rsidP="00ED38FD">
      <w:pPr>
        <w:pStyle w:val="Prrafodelista"/>
        <w:tabs>
          <w:tab w:val="left" w:pos="567"/>
        </w:tabs>
        <w:spacing w:after="0" w:line="240" w:lineRule="auto"/>
        <w:ind w:left="76"/>
        <w:jc w:val="both"/>
        <w:rPr>
          <w:rFonts w:ascii="Verdana" w:hAnsi="Verdana" w:cs="Arial"/>
          <w:bCs/>
          <w:sz w:val="20"/>
          <w:szCs w:val="20"/>
        </w:rPr>
      </w:pPr>
    </w:p>
    <w:p w14:paraId="0FBBC070" w14:textId="56231A56" w:rsidR="00ED38FD" w:rsidRPr="001C6CAB" w:rsidRDefault="00ED38FD" w:rsidP="00ED38FD">
      <w:pPr>
        <w:spacing w:after="0"/>
        <w:rPr>
          <w:rFonts w:ascii="Verdana" w:hAnsi="Verdana"/>
          <w:sz w:val="20"/>
          <w:szCs w:val="20"/>
        </w:rPr>
      </w:pPr>
      <w:r w:rsidRPr="001C6CAB">
        <w:rPr>
          <w:rFonts w:ascii="Verdana" w:hAnsi="Verdana"/>
          <w:sz w:val="20"/>
          <w:szCs w:val="20"/>
        </w:rPr>
        <w:lastRenderedPageBreak/>
        <w:t>1.1.3.</w:t>
      </w:r>
      <w:r>
        <w:rPr>
          <w:rFonts w:ascii="Verdana" w:hAnsi="Verdana"/>
          <w:sz w:val="20"/>
          <w:szCs w:val="20"/>
        </w:rPr>
        <w:t>2</w:t>
      </w:r>
      <w:r w:rsidR="005A7556">
        <w:rPr>
          <w:rFonts w:ascii="Verdana" w:hAnsi="Verdana"/>
          <w:sz w:val="20"/>
          <w:szCs w:val="20"/>
        </w:rPr>
        <w:t>27</w:t>
      </w:r>
      <w:r w:rsidRPr="001C6CAB">
        <w:rPr>
          <w:rFonts w:ascii="Verdana" w:hAnsi="Verdana"/>
          <w:sz w:val="20"/>
          <w:szCs w:val="20"/>
        </w:rPr>
        <w:t>.</w:t>
      </w:r>
    </w:p>
    <w:p w14:paraId="3D15DA5A" w14:textId="3619E21B" w:rsidR="002B3025" w:rsidRPr="00ED38FD" w:rsidRDefault="002B3025" w:rsidP="12B437D6">
      <w:pPr>
        <w:tabs>
          <w:tab w:val="left" w:pos="567"/>
        </w:tabs>
        <w:spacing w:after="0" w:line="240" w:lineRule="auto"/>
        <w:jc w:val="both"/>
        <w:rPr>
          <w:rFonts w:ascii="Verdana" w:hAnsi="Verdana" w:cs="Arial"/>
          <w:sz w:val="20"/>
          <w:szCs w:val="20"/>
        </w:rPr>
      </w:pPr>
      <w:r w:rsidRPr="12B437D6">
        <w:rPr>
          <w:rFonts w:ascii="Verdana" w:hAnsi="Verdana" w:cs="Arial"/>
          <w:sz w:val="20"/>
          <w:szCs w:val="20"/>
        </w:rPr>
        <w:t>Contar con una descripción detallada y específica de los modelos de estimación utilizados para la medición de la exposición al RTILB, su base teórica, los parámetros y la forma en que el modelo agrega los diferentes factores del riesgo. Igualmente, debe describir los cambios o adaptaciones que haya realizado a las metodologías empleadas, así como l</w:t>
      </w:r>
      <w:r w:rsidRPr="12B437D6">
        <w:rPr>
          <w:rFonts w:ascii="Verdana" w:eastAsia="Arial" w:hAnsi="Verdana" w:cs="Arial"/>
          <w:sz w:val="20"/>
          <w:szCs w:val="20"/>
        </w:rPr>
        <w:t>os resultados de las pruebas de desempeño asociadas a cada modelo</w:t>
      </w:r>
      <w:r w:rsidRPr="12B437D6">
        <w:rPr>
          <w:rFonts w:ascii="Verdana" w:hAnsi="Verdana" w:cs="Arial"/>
          <w:sz w:val="20"/>
          <w:szCs w:val="20"/>
        </w:rPr>
        <w:t>.</w:t>
      </w:r>
    </w:p>
    <w:p w14:paraId="5893E5F2" w14:textId="77777777" w:rsidR="00ED38FD" w:rsidRPr="002B3025" w:rsidRDefault="00ED38FD" w:rsidP="00ED38FD">
      <w:pPr>
        <w:pStyle w:val="Prrafodelista"/>
        <w:tabs>
          <w:tab w:val="left" w:pos="567"/>
        </w:tabs>
        <w:spacing w:after="0" w:line="240" w:lineRule="auto"/>
        <w:ind w:left="76"/>
        <w:jc w:val="both"/>
        <w:rPr>
          <w:rFonts w:ascii="Verdana" w:hAnsi="Verdana" w:cs="Arial"/>
          <w:bCs/>
          <w:sz w:val="20"/>
          <w:szCs w:val="20"/>
        </w:rPr>
      </w:pPr>
    </w:p>
    <w:p w14:paraId="35759129" w14:textId="597FC8DC" w:rsidR="00ED38FD" w:rsidRPr="001C6CAB" w:rsidRDefault="00ED38FD" w:rsidP="00ED38FD">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5A7556">
        <w:rPr>
          <w:rFonts w:ascii="Verdana" w:hAnsi="Verdana"/>
          <w:sz w:val="20"/>
          <w:szCs w:val="20"/>
        </w:rPr>
        <w:t>28</w:t>
      </w:r>
      <w:r w:rsidRPr="001C6CAB">
        <w:rPr>
          <w:rFonts w:ascii="Verdana" w:hAnsi="Verdana"/>
          <w:sz w:val="20"/>
          <w:szCs w:val="20"/>
        </w:rPr>
        <w:t>.</w:t>
      </w:r>
    </w:p>
    <w:p w14:paraId="0A667C06" w14:textId="71EBDDAD" w:rsidR="002B3025" w:rsidRPr="00ED38FD" w:rsidRDefault="002B3025" w:rsidP="00ED38FD">
      <w:pPr>
        <w:tabs>
          <w:tab w:val="left" w:pos="567"/>
        </w:tabs>
        <w:spacing w:after="0" w:line="240" w:lineRule="auto"/>
        <w:jc w:val="both"/>
        <w:rPr>
          <w:rFonts w:ascii="Verdana" w:hAnsi="Verdana" w:cs="Arial"/>
          <w:bCs/>
          <w:sz w:val="20"/>
          <w:szCs w:val="20"/>
        </w:rPr>
      </w:pPr>
      <w:r w:rsidRPr="00ED38FD">
        <w:rPr>
          <w:rFonts w:ascii="Verdana" w:hAnsi="Verdana" w:cs="Arial"/>
          <w:bCs/>
          <w:sz w:val="20"/>
          <w:szCs w:val="20"/>
          <w:lang w:val="es-ES"/>
        </w:rPr>
        <w:t xml:space="preserve">Gestionar el riesgo del modelo, para lo cual debe identificar las limitaciones de cada herramienta y modelo cuantitativo utilizado y tenerlas en cuenta en el proceso de gestión del RTILB. </w:t>
      </w:r>
    </w:p>
    <w:p w14:paraId="30E65DF7" w14:textId="77777777" w:rsidR="00ED38FD" w:rsidRPr="002B3025" w:rsidRDefault="00ED38FD" w:rsidP="00ED38FD">
      <w:pPr>
        <w:pStyle w:val="Prrafodelista"/>
        <w:tabs>
          <w:tab w:val="left" w:pos="567"/>
        </w:tabs>
        <w:spacing w:after="0" w:line="240" w:lineRule="auto"/>
        <w:ind w:left="76"/>
        <w:jc w:val="both"/>
        <w:rPr>
          <w:rFonts w:ascii="Verdana" w:hAnsi="Verdana" w:cs="Arial"/>
          <w:bCs/>
          <w:sz w:val="20"/>
          <w:szCs w:val="20"/>
        </w:rPr>
      </w:pPr>
    </w:p>
    <w:p w14:paraId="5F8359B9" w14:textId="18169A71" w:rsidR="00ED38FD" w:rsidRPr="001C6CAB" w:rsidRDefault="00ED38FD" w:rsidP="00ED38FD">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5A7556">
        <w:rPr>
          <w:rFonts w:ascii="Verdana" w:hAnsi="Verdana"/>
          <w:sz w:val="20"/>
          <w:szCs w:val="20"/>
        </w:rPr>
        <w:t>29</w:t>
      </w:r>
      <w:r w:rsidRPr="001C6CAB">
        <w:rPr>
          <w:rFonts w:ascii="Verdana" w:hAnsi="Verdana"/>
          <w:sz w:val="20"/>
          <w:szCs w:val="20"/>
        </w:rPr>
        <w:t>.</w:t>
      </w:r>
    </w:p>
    <w:p w14:paraId="18B0B70B" w14:textId="287E7099" w:rsidR="002B3025" w:rsidRDefault="002B3025" w:rsidP="00ED38FD">
      <w:pPr>
        <w:tabs>
          <w:tab w:val="left" w:pos="567"/>
        </w:tabs>
        <w:spacing w:after="0" w:line="240" w:lineRule="auto"/>
        <w:jc w:val="both"/>
        <w:rPr>
          <w:rFonts w:ascii="Verdana" w:hAnsi="Verdana" w:cs="Arial"/>
          <w:bCs/>
          <w:sz w:val="20"/>
          <w:szCs w:val="20"/>
        </w:rPr>
      </w:pPr>
      <w:r w:rsidRPr="00ED38FD">
        <w:rPr>
          <w:rFonts w:ascii="Verdana" w:hAnsi="Verdana" w:cs="Arial"/>
          <w:bCs/>
          <w:sz w:val="20"/>
          <w:szCs w:val="20"/>
        </w:rPr>
        <w:t xml:space="preserve">Ser consciente de los riesgos adicionales que pueden surgir como consecuencia del </w:t>
      </w:r>
      <w:r w:rsidRPr="007163C0">
        <w:rPr>
          <w:rFonts w:ascii="Verdana" w:hAnsi="Verdana" w:cs="Arial"/>
          <w:bCs/>
          <w:sz w:val="20"/>
          <w:szCs w:val="20"/>
        </w:rPr>
        <w:t xml:space="preserve">tratamiento contable aprobado para las transacciones clasificadas en la cartera del libro bancario. Lo anterior, en línea con lo señalado </w:t>
      </w:r>
      <w:r w:rsidR="003E34D8">
        <w:rPr>
          <w:rFonts w:ascii="Verdana" w:hAnsi="Verdana" w:cs="Arial"/>
          <w:bCs/>
          <w:sz w:val="20"/>
          <w:szCs w:val="20"/>
        </w:rPr>
        <w:t>entre los párrafos 1.1.2.334. y 1.1.2.356.</w:t>
      </w:r>
    </w:p>
    <w:p w14:paraId="3F69BD9F" w14:textId="77777777" w:rsidR="00ED38FD" w:rsidRPr="00ED38FD" w:rsidRDefault="00ED38FD" w:rsidP="00ED38FD">
      <w:pPr>
        <w:tabs>
          <w:tab w:val="left" w:pos="567"/>
        </w:tabs>
        <w:spacing w:after="0" w:line="240" w:lineRule="auto"/>
        <w:jc w:val="both"/>
        <w:rPr>
          <w:rFonts w:ascii="Verdana" w:hAnsi="Verdana" w:cs="Arial"/>
          <w:bCs/>
          <w:sz w:val="20"/>
          <w:szCs w:val="20"/>
        </w:rPr>
      </w:pPr>
    </w:p>
    <w:p w14:paraId="57DF06DB" w14:textId="71085F19" w:rsidR="005F2C10" w:rsidRPr="001C6CAB" w:rsidRDefault="005F2C10" w:rsidP="005F2C10">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5A7556">
        <w:rPr>
          <w:rFonts w:ascii="Verdana" w:hAnsi="Verdana"/>
          <w:sz w:val="20"/>
          <w:szCs w:val="20"/>
        </w:rPr>
        <w:t>30</w:t>
      </w:r>
      <w:r w:rsidRPr="001C6CAB">
        <w:rPr>
          <w:rFonts w:ascii="Verdana" w:hAnsi="Verdana"/>
          <w:sz w:val="20"/>
          <w:szCs w:val="20"/>
        </w:rPr>
        <w:t>.</w:t>
      </w:r>
    </w:p>
    <w:p w14:paraId="4E6AD1B3" w14:textId="3F88DFE1" w:rsidR="002B3025" w:rsidRPr="005F2C10" w:rsidRDefault="002B3025" w:rsidP="005F2C10">
      <w:pPr>
        <w:tabs>
          <w:tab w:val="left" w:pos="567"/>
        </w:tabs>
        <w:spacing w:after="0" w:line="240" w:lineRule="auto"/>
        <w:jc w:val="both"/>
        <w:rPr>
          <w:rFonts w:ascii="Verdana" w:hAnsi="Verdana" w:cs="Arial"/>
          <w:bCs/>
          <w:sz w:val="20"/>
          <w:szCs w:val="20"/>
        </w:rPr>
      </w:pPr>
      <w:r w:rsidRPr="005F2C10">
        <w:rPr>
          <w:rFonts w:ascii="Verdana" w:hAnsi="Verdana" w:cs="Arial"/>
          <w:bCs/>
          <w:sz w:val="20"/>
          <w:szCs w:val="20"/>
        </w:rPr>
        <w:t xml:space="preserve">Garantizar que </w:t>
      </w:r>
      <w:r w:rsidRPr="005F2C10">
        <w:rPr>
          <w:rFonts w:ascii="Verdana" w:hAnsi="Verdana" w:cs="Arial"/>
          <w:bCs/>
          <w:sz w:val="20"/>
          <w:szCs w:val="20"/>
          <w:lang w:val="es-ES"/>
        </w:rPr>
        <w:t xml:space="preserve">los supuestos del modelo interno sean conceptualmente sólidos, razonables y consistentes con su experiencia histórica, para lo cual la entidad debe considerar detenidamente cómo variará el ejercicio de la opcionalidad comportamental, no sólo en escenarios de tensión y perturbación de las tasas de interés, sino también en otras dimensiones. La entidad debe </w:t>
      </w:r>
      <w:r w:rsidRPr="000B65BB">
        <w:rPr>
          <w:rFonts w:ascii="Verdana" w:hAnsi="Verdana" w:cs="Arial"/>
          <w:bCs/>
          <w:sz w:val="20"/>
          <w:szCs w:val="20"/>
          <w:lang w:val="es-ES"/>
        </w:rPr>
        <w:t xml:space="preserve">gestionar por lo menos las dimensiones que influyen en el ejercicio de las opciones de comportamiento integradas, señaladas en la tabla 5 del </w:t>
      </w:r>
      <w:r w:rsidR="000B65BB" w:rsidRPr="000B65BB">
        <w:rPr>
          <w:rFonts w:ascii="Verdana" w:hAnsi="Verdana" w:cs="Arial"/>
          <w:bCs/>
          <w:sz w:val="20"/>
          <w:szCs w:val="20"/>
          <w:lang w:val="es-ES"/>
        </w:rPr>
        <w:t>a</w:t>
      </w:r>
      <w:r w:rsidRPr="000B65BB">
        <w:rPr>
          <w:rFonts w:ascii="Verdana" w:hAnsi="Verdana" w:cs="Arial"/>
          <w:bCs/>
          <w:sz w:val="20"/>
          <w:szCs w:val="20"/>
          <w:lang w:val="es-ES"/>
        </w:rPr>
        <w:t xml:space="preserve">nexo 15 del presente </w:t>
      </w:r>
      <w:r w:rsidR="000B65BB" w:rsidRPr="000B65BB">
        <w:rPr>
          <w:rFonts w:ascii="Verdana" w:hAnsi="Verdana" w:cs="Arial"/>
          <w:bCs/>
          <w:sz w:val="20"/>
          <w:szCs w:val="20"/>
          <w:lang w:val="es-ES"/>
        </w:rPr>
        <w:t>c</w:t>
      </w:r>
      <w:r w:rsidRPr="000B65BB">
        <w:rPr>
          <w:rFonts w:ascii="Verdana" w:hAnsi="Verdana" w:cs="Arial"/>
          <w:bCs/>
          <w:sz w:val="20"/>
          <w:szCs w:val="20"/>
          <w:lang w:val="es-ES"/>
        </w:rPr>
        <w:t>apítulo.</w:t>
      </w:r>
      <w:r w:rsidRPr="005F2C10">
        <w:rPr>
          <w:rFonts w:ascii="Verdana" w:hAnsi="Verdana" w:cs="Arial"/>
          <w:bCs/>
          <w:sz w:val="20"/>
          <w:szCs w:val="20"/>
          <w:lang w:val="es-ES"/>
        </w:rPr>
        <w:t xml:space="preserve"> </w:t>
      </w:r>
    </w:p>
    <w:p w14:paraId="20191BA3" w14:textId="77777777" w:rsidR="005F2C10" w:rsidRDefault="005F2C10" w:rsidP="005F2C10">
      <w:pPr>
        <w:tabs>
          <w:tab w:val="left" w:pos="567"/>
        </w:tabs>
        <w:spacing w:after="0" w:line="240" w:lineRule="auto"/>
        <w:jc w:val="both"/>
        <w:rPr>
          <w:rFonts w:ascii="Verdana" w:hAnsi="Verdana" w:cs="Arial"/>
          <w:bCs/>
          <w:sz w:val="20"/>
          <w:szCs w:val="20"/>
          <w:lang w:val="es-ES" w:eastAsia="es-CO"/>
        </w:rPr>
      </w:pPr>
    </w:p>
    <w:p w14:paraId="585A2983" w14:textId="224A75FA" w:rsidR="005F2C10" w:rsidRDefault="005F2C10" w:rsidP="005F2C10">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5A7556">
        <w:rPr>
          <w:rFonts w:ascii="Verdana" w:hAnsi="Verdana"/>
          <w:sz w:val="20"/>
          <w:szCs w:val="20"/>
        </w:rPr>
        <w:t>31</w:t>
      </w:r>
      <w:r w:rsidRPr="001C6CAB">
        <w:rPr>
          <w:rFonts w:ascii="Verdana" w:hAnsi="Verdana"/>
          <w:sz w:val="20"/>
          <w:szCs w:val="20"/>
        </w:rPr>
        <w:t>.</w:t>
      </w:r>
    </w:p>
    <w:p w14:paraId="0C852108" w14:textId="42152155" w:rsidR="0041500C" w:rsidRDefault="0041500C" w:rsidP="005F2C10">
      <w:pPr>
        <w:spacing w:after="0"/>
        <w:rPr>
          <w:rFonts w:ascii="Verdana" w:hAnsi="Verdana"/>
          <w:sz w:val="20"/>
          <w:szCs w:val="20"/>
        </w:rPr>
      </w:pPr>
      <w:r w:rsidRPr="0041500C">
        <w:rPr>
          <w:rFonts w:ascii="Verdana" w:hAnsi="Verdana"/>
          <w:sz w:val="20"/>
          <w:szCs w:val="20"/>
        </w:rPr>
        <w:t>Capturar adecuadamente el RTILB identificando como mínimo los siguientes componentes y subcomponentes:</w:t>
      </w:r>
    </w:p>
    <w:p w14:paraId="5B67225F" w14:textId="77777777" w:rsidR="006164D3" w:rsidRDefault="006164D3" w:rsidP="005F2C10">
      <w:pPr>
        <w:spacing w:after="0"/>
        <w:rPr>
          <w:rFonts w:ascii="Verdana" w:hAnsi="Verdana"/>
          <w:sz w:val="20"/>
          <w:szCs w:val="20"/>
        </w:rPr>
      </w:pPr>
    </w:p>
    <w:tbl>
      <w:tblPr>
        <w:tblStyle w:val="Tablaconcuadrcula"/>
        <w:tblW w:w="9356" w:type="dxa"/>
        <w:jc w:val="center"/>
        <w:tblLook w:val="04A0" w:firstRow="1" w:lastRow="0" w:firstColumn="1" w:lastColumn="0" w:noHBand="0" w:noVBand="1"/>
      </w:tblPr>
      <w:tblGrid>
        <w:gridCol w:w="2411"/>
        <w:gridCol w:w="2551"/>
        <w:gridCol w:w="4394"/>
      </w:tblGrid>
      <w:tr w:rsidR="002E3760" w14:paraId="395A8C06" w14:textId="77777777" w:rsidTr="00C67684">
        <w:trPr>
          <w:jc w:val="center"/>
        </w:trPr>
        <w:tc>
          <w:tcPr>
            <w:tcW w:w="2411" w:type="dxa"/>
            <w:shd w:val="clear" w:color="auto" w:fill="D1D1D1" w:themeFill="background2" w:themeFillShade="E6"/>
            <w:vAlign w:val="bottom"/>
          </w:tcPr>
          <w:p w14:paraId="6F7A5E06" w14:textId="248111C2" w:rsidR="0077223B" w:rsidRPr="0077223B" w:rsidRDefault="0077223B" w:rsidP="0077223B">
            <w:pPr>
              <w:jc w:val="center"/>
              <w:rPr>
                <w:rFonts w:ascii="Verdana" w:hAnsi="Verdana"/>
              </w:rPr>
            </w:pPr>
            <w:r w:rsidRPr="0077223B">
              <w:rPr>
                <w:rFonts w:ascii="Verdana" w:hAnsi="Verdana" w:cs="Arial"/>
                <w:b/>
                <w:bCs/>
                <w:color w:val="000000"/>
                <w:sz w:val="16"/>
                <w:szCs w:val="16"/>
              </w:rPr>
              <w:t>Componente</w:t>
            </w:r>
          </w:p>
        </w:tc>
        <w:tc>
          <w:tcPr>
            <w:tcW w:w="2551" w:type="dxa"/>
            <w:shd w:val="clear" w:color="auto" w:fill="D1D1D1" w:themeFill="background2" w:themeFillShade="E6"/>
            <w:vAlign w:val="bottom"/>
          </w:tcPr>
          <w:p w14:paraId="4476105A" w14:textId="359D5A28" w:rsidR="0077223B" w:rsidRPr="0077223B" w:rsidRDefault="0077223B" w:rsidP="0077223B">
            <w:pPr>
              <w:jc w:val="center"/>
              <w:rPr>
                <w:rFonts w:ascii="Verdana" w:hAnsi="Verdana"/>
              </w:rPr>
            </w:pPr>
            <w:r w:rsidRPr="0077223B">
              <w:rPr>
                <w:rFonts w:ascii="Verdana" w:hAnsi="Verdana" w:cs="Arial"/>
                <w:b/>
                <w:bCs/>
                <w:color w:val="000000"/>
                <w:sz w:val="16"/>
                <w:szCs w:val="16"/>
              </w:rPr>
              <w:t>Método</w:t>
            </w:r>
          </w:p>
        </w:tc>
        <w:tc>
          <w:tcPr>
            <w:tcW w:w="4394" w:type="dxa"/>
            <w:shd w:val="clear" w:color="auto" w:fill="D1D1D1" w:themeFill="background2" w:themeFillShade="E6"/>
            <w:vAlign w:val="bottom"/>
          </w:tcPr>
          <w:p w14:paraId="005E366C" w14:textId="5098D421" w:rsidR="0077223B" w:rsidRPr="0077223B" w:rsidRDefault="0077223B" w:rsidP="0077223B">
            <w:pPr>
              <w:jc w:val="center"/>
              <w:rPr>
                <w:rFonts w:ascii="Verdana" w:hAnsi="Verdana"/>
              </w:rPr>
            </w:pPr>
            <w:r w:rsidRPr="0077223B">
              <w:rPr>
                <w:rFonts w:ascii="Verdana" w:hAnsi="Verdana" w:cs="Arial"/>
                <w:b/>
                <w:bCs/>
                <w:color w:val="000000"/>
                <w:sz w:val="16"/>
                <w:szCs w:val="16"/>
              </w:rPr>
              <w:t>Enfoque</w:t>
            </w:r>
          </w:p>
        </w:tc>
      </w:tr>
      <w:tr w:rsidR="00042BCD" w14:paraId="7C6F1102" w14:textId="77777777" w:rsidTr="00C67684">
        <w:trPr>
          <w:jc w:val="center"/>
        </w:trPr>
        <w:tc>
          <w:tcPr>
            <w:tcW w:w="2411" w:type="dxa"/>
            <w:vMerge w:val="restart"/>
            <w:vAlign w:val="center"/>
          </w:tcPr>
          <w:p w14:paraId="61BAA443" w14:textId="4709BF0F" w:rsidR="00EF5900" w:rsidRDefault="00EF5900" w:rsidP="00D76297">
            <w:pPr>
              <w:rPr>
                <w:rFonts w:ascii="Verdana" w:hAnsi="Verdana"/>
              </w:rPr>
            </w:pPr>
            <w:r w:rsidRPr="00EF5900">
              <w:rPr>
                <w:rFonts w:ascii="Verdana" w:hAnsi="Verdana" w:cs="Arial"/>
                <w:sz w:val="16"/>
                <w:szCs w:val="16"/>
              </w:rPr>
              <w:t>Riesgo de brecha</w:t>
            </w:r>
          </w:p>
        </w:tc>
        <w:tc>
          <w:tcPr>
            <w:tcW w:w="2551" w:type="dxa"/>
            <w:vAlign w:val="center"/>
          </w:tcPr>
          <w:p w14:paraId="503C7DA6" w14:textId="44910898" w:rsidR="00EF5900" w:rsidRPr="00831717" w:rsidRDefault="00EF5900" w:rsidP="00831717">
            <w:pPr>
              <w:rPr>
                <w:rFonts w:ascii="Verdana" w:hAnsi="Verdana"/>
              </w:rPr>
            </w:pPr>
            <w:r w:rsidRPr="00831717">
              <w:rPr>
                <w:rFonts w:ascii="Verdana" w:hAnsi="Verdana" w:cs="Arial"/>
                <w:color w:val="000000"/>
                <w:sz w:val="16"/>
                <w:szCs w:val="16"/>
              </w:rPr>
              <w:t>Análisis de gaps</w:t>
            </w:r>
          </w:p>
        </w:tc>
        <w:tc>
          <w:tcPr>
            <w:tcW w:w="4394" w:type="dxa"/>
            <w:vAlign w:val="bottom"/>
          </w:tcPr>
          <w:p w14:paraId="3BAD24F1" w14:textId="79C1B00D" w:rsidR="00EF5900" w:rsidRPr="00831717" w:rsidRDefault="00EF5900" w:rsidP="00831717">
            <w:pPr>
              <w:rPr>
                <w:rFonts w:ascii="Verdana" w:hAnsi="Verdana"/>
              </w:rPr>
            </w:pPr>
            <w:r w:rsidRPr="00831717">
              <w:rPr>
                <w:rFonts w:ascii="Verdana" w:hAnsi="Verdana" w:cs="Arial"/>
                <w:sz w:val="16"/>
                <w:szCs w:val="16"/>
              </w:rPr>
              <w:t>Volumen de desfases en las distintas bandas de tiempo.</w:t>
            </w:r>
          </w:p>
        </w:tc>
      </w:tr>
      <w:tr w:rsidR="00EF5900" w14:paraId="427759E7" w14:textId="77777777" w:rsidTr="00C67684">
        <w:trPr>
          <w:jc w:val="center"/>
        </w:trPr>
        <w:tc>
          <w:tcPr>
            <w:tcW w:w="2411" w:type="dxa"/>
            <w:vMerge/>
            <w:vAlign w:val="center"/>
          </w:tcPr>
          <w:p w14:paraId="4BEC634D" w14:textId="77777777" w:rsidR="00EF5900" w:rsidRDefault="00EF5900" w:rsidP="00D76297">
            <w:pPr>
              <w:rPr>
                <w:rFonts w:ascii="Verdana" w:hAnsi="Verdana"/>
              </w:rPr>
            </w:pPr>
          </w:p>
        </w:tc>
        <w:tc>
          <w:tcPr>
            <w:tcW w:w="2551" w:type="dxa"/>
            <w:vAlign w:val="center"/>
          </w:tcPr>
          <w:p w14:paraId="46AA5844" w14:textId="0BFB58F9" w:rsidR="00EF5900" w:rsidRPr="00831717" w:rsidRDefault="00EF5900" w:rsidP="00831717">
            <w:pPr>
              <w:rPr>
                <w:rFonts w:ascii="Verdana" w:hAnsi="Verdana"/>
              </w:rPr>
            </w:pPr>
            <w:r w:rsidRPr="00831717">
              <w:rPr>
                <w:rFonts w:ascii="Verdana" w:hAnsi="Verdana" w:cs="Arial"/>
                <w:color w:val="000000"/>
                <w:sz w:val="16"/>
                <w:szCs w:val="16"/>
              </w:rPr>
              <w:t>Duración parcial del riesgo de curva</w:t>
            </w:r>
            <w:r w:rsidRPr="00831717">
              <w:rPr>
                <w:rStyle w:val="Refdenotaalpie"/>
                <w:rFonts w:ascii="Verdana" w:hAnsi="Verdana" w:cs="Arial"/>
                <w:color w:val="000000"/>
                <w:sz w:val="16"/>
                <w:szCs w:val="16"/>
              </w:rPr>
              <w:footnoteReference w:id="2"/>
            </w:r>
          </w:p>
        </w:tc>
        <w:tc>
          <w:tcPr>
            <w:tcW w:w="4394" w:type="dxa"/>
            <w:vAlign w:val="center"/>
          </w:tcPr>
          <w:p w14:paraId="1008F3A2" w14:textId="168BCB1A" w:rsidR="00EF5900" w:rsidRPr="00831717" w:rsidRDefault="00EF5900" w:rsidP="00831717">
            <w:pPr>
              <w:rPr>
                <w:rFonts w:ascii="Verdana" w:hAnsi="Verdana"/>
              </w:rPr>
            </w:pPr>
            <w:r w:rsidRPr="00831717">
              <w:rPr>
                <w:rFonts w:ascii="Verdana" w:hAnsi="Verdana" w:cs="Arial"/>
                <w:color w:val="000000"/>
                <w:sz w:val="16"/>
                <w:szCs w:val="16"/>
              </w:rPr>
              <w:t>La dispersión y concentración de desfases en las diferentes bandas de tiempo.</w:t>
            </w:r>
          </w:p>
        </w:tc>
      </w:tr>
      <w:tr w:rsidR="008A15A8" w14:paraId="1190412E" w14:textId="77777777" w:rsidTr="00C67684">
        <w:trPr>
          <w:jc w:val="center"/>
        </w:trPr>
        <w:tc>
          <w:tcPr>
            <w:tcW w:w="2411" w:type="dxa"/>
            <w:vAlign w:val="center"/>
          </w:tcPr>
          <w:p w14:paraId="77C0DAC4" w14:textId="076D4935" w:rsidR="008A15A8" w:rsidRPr="008A15A8" w:rsidRDefault="008A15A8" w:rsidP="00D76297">
            <w:pPr>
              <w:rPr>
                <w:rFonts w:ascii="Verdana" w:hAnsi="Verdana" w:cs="Arial"/>
                <w:sz w:val="16"/>
                <w:szCs w:val="16"/>
              </w:rPr>
            </w:pPr>
            <w:r w:rsidRPr="008A15A8">
              <w:rPr>
                <w:rFonts w:ascii="Verdana" w:hAnsi="Verdana" w:cs="Arial"/>
                <w:sz w:val="16"/>
                <w:szCs w:val="16"/>
              </w:rPr>
              <w:t>Riesgo de base</w:t>
            </w:r>
          </w:p>
        </w:tc>
        <w:tc>
          <w:tcPr>
            <w:tcW w:w="2551" w:type="dxa"/>
            <w:vAlign w:val="center"/>
          </w:tcPr>
          <w:p w14:paraId="3C9587F7" w14:textId="5E26EB21" w:rsidR="008A15A8" w:rsidRPr="008A15A8" w:rsidRDefault="008A15A8" w:rsidP="008A15A8">
            <w:pPr>
              <w:rPr>
                <w:rFonts w:ascii="Verdana" w:hAnsi="Verdana" w:cs="Arial"/>
                <w:sz w:val="16"/>
                <w:szCs w:val="16"/>
              </w:rPr>
            </w:pPr>
            <w:r w:rsidRPr="008A15A8">
              <w:rPr>
                <w:rFonts w:ascii="Verdana" w:hAnsi="Verdana" w:cs="Arial"/>
                <w:sz w:val="16"/>
                <w:szCs w:val="16"/>
              </w:rPr>
              <w:t>Inventario de los grupos de instrumentos basados en diferentes tasas de inter</w:t>
            </w:r>
            <w:r w:rsidRPr="008A15A8">
              <w:rPr>
                <w:rFonts w:ascii="Verdana" w:hAnsi="Verdana" w:cs="Verdana"/>
                <w:sz w:val="16"/>
                <w:szCs w:val="16"/>
              </w:rPr>
              <w:t>é</w:t>
            </w:r>
            <w:r w:rsidRPr="008A15A8">
              <w:rPr>
                <w:rFonts w:ascii="Verdana" w:hAnsi="Verdana" w:cs="Arial"/>
                <w:sz w:val="16"/>
                <w:szCs w:val="16"/>
              </w:rPr>
              <w:t>s</w:t>
            </w:r>
          </w:p>
        </w:tc>
        <w:tc>
          <w:tcPr>
            <w:tcW w:w="4394" w:type="dxa"/>
            <w:vAlign w:val="center"/>
          </w:tcPr>
          <w:p w14:paraId="4F8DE4D3" w14:textId="1617328C" w:rsidR="008A15A8" w:rsidRPr="008A15A8" w:rsidRDefault="008A15A8" w:rsidP="008A15A8">
            <w:pPr>
              <w:rPr>
                <w:rFonts w:ascii="Verdana" w:hAnsi="Verdana" w:cs="Arial"/>
                <w:sz w:val="16"/>
                <w:szCs w:val="16"/>
              </w:rPr>
            </w:pPr>
            <w:r w:rsidRPr="008A15A8">
              <w:rPr>
                <w:rFonts w:ascii="Verdana" w:hAnsi="Verdana" w:cs="Arial"/>
                <w:sz w:val="16"/>
                <w:szCs w:val="16"/>
              </w:rPr>
              <w:t>Uso de derivados y otros instrumentos de cobertura en t</w:t>
            </w:r>
            <w:r w:rsidRPr="008A15A8">
              <w:rPr>
                <w:rFonts w:ascii="Verdana" w:hAnsi="Verdana" w:cs="Verdana"/>
                <w:sz w:val="16"/>
                <w:szCs w:val="16"/>
              </w:rPr>
              <w:t>é</w:t>
            </w:r>
            <w:r w:rsidRPr="008A15A8">
              <w:rPr>
                <w:rFonts w:ascii="Verdana" w:hAnsi="Verdana" w:cs="Arial"/>
                <w:sz w:val="16"/>
                <w:szCs w:val="16"/>
              </w:rPr>
              <w:t>rminos de bases diferentes, convexidades y descalces temporales no contemplados en el análisis de brecha.</w:t>
            </w:r>
          </w:p>
        </w:tc>
      </w:tr>
      <w:tr w:rsidR="00F777C1" w14:paraId="314C3BD5" w14:textId="77777777" w:rsidTr="00C67684">
        <w:trPr>
          <w:jc w:val="center"/>
        </w:trPr>
        <w:tc>
          <w:tcPr>
            <w:tcW w:w="2411" w:type="dxa"/>
            <w:vMerge w:val="restart"/>
            <w:vAlign w:val="center"/>
          </w:tcPr>
          <w:p w14:paraId="3B9D273B" w14:textId="15F4C1DE" w:rsidR="00F777C1" w:rsidRPr="00F777C1" w:rsidRDefault="00F777C1" w:rsidP="00D76297">
            <w:pPr>
              <w:rPr>
                <w:rFonts w:ascii="Verdana" w:hAnsi="Verdana" w:cs="Arial"/>
                <w:sz w:val="16"/>
                <w:szCs w:val="16"/>
              </w:rPr>
            </w:pPr>
            <w:r w:rsidRPr="00F777C1">
              <w:rPr>
                <w:rFonts w:ascii="Verdana" w:hAnsi="Verdana" w:cs="Arial"/>
                <w:sz w:val="16"/>
                <w:szCs w:val="16"/>
              </w:rPr>
              <w:t>Riesgo de opcionalidad (opciones automáticas y de comportamiento)</w:t>
            </w:r>
          </w:p>
        </w:tc>
        <w:tc>
          <w:tcPr>
            <w:tcW w:w="2551" w:type="dxa"/>
            <w:vMerge w:val="restart"/>
            <w:vAlign w:val="center"/>
          </w:tcPr>
          <w:p w14:paraId="16F6D2AF" w14:textId="670C9364" w:rsidR="00F777C1" w:rsidRPr="00F777C1" w:rsidRDefault="00F777C1" w:rsidP="00F777C1">
            <w:pPr>
              <w:rPr>
                <w:rFonts w:ascii="Verdana" w:hAnsi="Verdana" w:cs="Arial"/>
                <w:sz w:val="16"/>
                <w:szCs w:val="16"/>
              </w:rPr>
            </w:pPr>
            <w:r w:rsidRPr="00F777C1">
              <w:rPr>
                <w:rFonts w:ascii="Verdana" w:hAnsi="Verdana" w:cs="Arial"/>
                <w:sz w:val="16"/>
                <w:szCs w:val="16"/>
              </w:rPr>
              <w:t>Inventario de todos los instrumentos con opciones implícitas o explícitas</w:t>
            </w:r>
          </w:p>
        </w:tc>
        <w:tc>
          <w:tcPr>
            <w:tcW w:w="4394" w:type="dxa"/>
          </w:tcPr>
          <w:p w14:paraId="15FD4BA8" w14:textId="44833FE4" w:rsidR="00F777C1" w:rsidRDefault="00F777C1" w:rsidP="00F777C1">
            <w:pPr>
              <w:rPr>
                <w:rFonts w:ascii="Verdana" w:hAnsi="Verdana"/>
              </w:rPr>
            </w:pPr>
            <w:r w:rsidRPr="00EC45AA">
              <w:rPr>
                <w:rFonts w:ascii="Verdana" w:hAnsi="Verdana" w:cs="Arial"/>
                <w:sz w:val="16"/>
                <w:szCs w:val="16"/>
              </w:rPr>
              <w:t>Opciones de comportamiento: El volumen de préstamos, cuentas corrientes, ahorros y depósitos en los que el cliente tiene la opción de desviarse del vencimiento contractual. El volumen de compromisos con clientes susceptibles de retiros, sensibles a las tasas de interés.</w:t>
            </w:r>
          </w:p>
        </w:tc>
      </w:tr>
      <w:tr w:rsidR="00FC393E" w14:paraId="4B0D3601" w14:textId="77777777" w:rsidTr="00C67684">
        <w:trPr>
          <w:jc w:val="center"/>
        </w:trPr>
        <w:tc>
          <w:tcPr>
            <w:tcW w:w="2411" w:type="dxa"/>
            <w:vMerge/>
          </w:tcPr>
          <w:p w14:paraId="2AE55750" w14:textId="77777777" w:rsidR="00FC393E" w:rsidRDefault="00FC393E" w:rsidP="005F2C10">
            <w:pPr>
              <w:rPr>
                <w:rFonts w:ascii="Verdana" w:hAnsi="Verdana"/>
              </w:rPr>
            </w:pPr>
          </w:p>
        </w:tc>
        <w:tc>
          <w:tcPr>
            <w:tcW w:w="2551" w:type="dxa"/>
            <w:vMerge/>
          </w:tcPr>
          <w:p w14:paraId="3B5362FE" w14:textId="77777777" w:rsidR="00FC393E" w:rsidRDefault="00FC393E" w:rsidP="005F2C10">
            <w:pPr>
              <w:rPr>
                <w:rFonts w:ascii="Verdana" w:hAnsi="Verdana"/>
              </w:rPr>
            </w:pPr>
          </w:p>
        </w:tc>
        <w:tc>
          <w:tcPr>
            <w:tcW w:w="4394" w:type="dxa"/>
          </w:tcPr>
          <w:p w14:paraId="09097654" w14:textId="3E03FA02" w:rsidR="00FC393E" w:rsidRDefault="00FC393E" w:rsidP="005F2C10">
            <w:pPr>
              <w:rPr>
                <w:rFonts w:ascii="Verdana" w:hAnsi="Verdana"/>
              </w:rPr>
            </w:pPr>
            <w:r w:rsidRPr="001A645D">
              <w:rPr>
                <w:rFonts w:ascii="Verdana" w:hAnsi="Verdana" w:cs="Arial"/>
                <w:sz w:val="16"/>
                <w:szCs w:val="16"/>
              </w:rPr>
              <w:t>Opciones de tipo de inter</w:t>
            </w:r>
            <w:r w:rsidRPr="001A645D">
              <w:rPr>
                <w:rFonts w:ascii="Verdana" w:hAnsi="Verdana" w:cs="Verdana"/>
                <w:sz w:val="16"/>
                <w:szCs w:val="16"/>
              </w:rPr>
              <w:t>é</w:t>
            </w:r>
            <w:r w:rsidRPr="001A645D">
              <w:rPr>
                <w:rFonts w:ascii="Verdana" w:hAnsi="Verdana" w:cs="Arial"/>
                <w:sz w:val="16"/>
                <w:szCs w:val="16"/>
              </w:rPr>
              <w:t>s autom</w:t>
            </w:r>
            <w:r w:rsidRPr="001A645D">
              <w:rPr>
                <w:rFonts w:ascii="Verdana" w:hAnsi="Verdana" w:cs="Verdana"/>
                <w:sz w:val="16"/>
                <w:szCs w:val="16"/>
              </w:rPr>
              <w:t>á</w:t>
            </w:r>
            <w:r w:rsidRPr="001A645D">
              <w:rPr>
                <w:rFonts w:ascii="Verdana" w:hAnsi="Verdana" w:cs="Arial"/>
                <w:sz w:val="16"/>
                <w:szCs w:val="16"/>
              </w:rPr>
              <w:t>ticas: Tasas máximas (techos) y mínimas (pisos) implícitas en activos y pasivos; opciones de permuta (</w:t>
            </w:r>
            <w:r w:rsidRPr="00FC393E">
              <w:rPr>
                <w:rFonts w:ascii="Verdana" w:hAnsi="Verdana" w:cs="Arial"/>
                <w:i/>
                <w:iCs/>
                <w:sz w:val="16"/>
                <w:szCs w:val="16"/>
              </w:rPr>
              <w:t>swaption</w:t>
            </w:r>
            <w:r w:rsidRPr="001A645D">
              <w:rPr>
                <w:rFonts w:ascii="Verdana" w:hAnsi="Verdana" w:cs="Arial"/>
                <w:sz w:val="16"/>
                <w:szCs w:val="16"/>
              </w:rPr>
              <w:t xml:space="preserve">s) u opciones de amortización anticipada implícitas en activos y pasivos mayoristas y techos, pisos y </w:t>
            </w:r>
            <w:r w:rsidRPr="00FC393E">
              <w:rPr>
                <w:rFonts w:ascii="Verdana" w:hAnsi="Verdana" w:cs="Arial"/>
                <w:i/>
                <w:iCs/>
                <w:sz w:val="16"/>
                <w:szCs w:val="16"/>
              </w:rPr>
              <w:t xml:space="preserve">swaptions </w:t>
            </w:r>
            <w:r w:rsidRPr="001A645D">
              <w:rPr>
                <w:rFonts w:ascii="Verdana" w:hAnsi="Verdana" w:cs="Arial"/>
                <w:sz w:val="16"/>
                <w:szCs w:val="16"/>
              </w:rPr>
              <w:t>explícitos.</w:t>
            </w:r>
          </w:p>
        </w:tc>
      </w:tr>
    </w:tbl>
    <w:p w14:paraId="6F0F82AB" w14:textId="77777777" w:rsidR="00D76297" w:rsidRDefault="00D76297" w:rsidP="008F6538">
      <w:pPr>
        <w:spacing w:after="0"/>
        <w:rPr>
          <w:rFonts w:ascii="Verdana" w:hAnsi="Verdana"/>
          <w:sz w:val="20"/>
          <w:szCs w:val="20"/>
        </w:rPr>
      </w:pPr>
    </w:p>
    <w:p w14:paraId="1B7E936B" w14:textId="73DF37C5" w:rsidR="008F6538" w:rsidRPr="001C6CAB" w:rsidRDefault="008F6538" w:rsidP="008F6538">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5A7556">
        <w:rPr>
          <w:rFonts w:ascii="Verdana" w:hAnsi="Verdana"/>
          <w:sz w:val="20"/>
          <w:szCs w:val="20"/>
        </w:rPr>
        <w:t>32</w:t>
      </w:r>
      <w:r w:rsidRPr="001C6CAB">
        <w:rPr>
          <w:rFonts w:ascii="Verdana" w:hAnsi="Verdana"/>
          <w:sz w:val="20"/>
          <w:szCs w:val="20"/>
        </w:rPr>
        <w:t>.</w:t>
      </w:r>
    </w:p>
    <w:p w14:paraId="16999BA6" w14:textId="77777777" w:rsidR="00DC0DD8" w:rsidRDefault="002B3025" w:rsidP="00DC0DD8">
      <w:pPr>
        <w:spacing w:after="0" w:line="240" w:lineRule="auto"/>
        <w:jc w:val="both"/>
        <w:rPr>
          <w:rFonts w:ascii="Verdana" w:hAnsi="Verdana" w:cs="Arial"/>
          <w:bCs/>
          <w:sz w:val="20"/>
          <w:szCs w:val="20"/>
        </w:rPr>
      </w:pPr>
      <w:r w:rsidRPr="008F6538">
        <w:rPr>
          <w:rFonts w:ascii="Verdana" w:hAnsi="Verdana" w:cs="Arial"/>
          <w:bCs/>
          <w:sz w:val="20"/>
          <w:szCs w:val="20"/>
        </w:rPr>
        <w:t>Incluir los cambios que se generan en la composición de las posiciones del libro bancario derivados de factores internos, como reorganizaciones corporativas y cambios en el modelo de negocio, o factores externos como cambios en el entorno competitivo, legal o fiscal.</w:t>
      </w:r>
    </w:p>
    <w:p w14:paraId="56D80263" w14:textId="77777777" w:rsidR="00DC0DD8" w:rsidRDefault="00DC0DD8" w:rsidP="00DC0DD8">
      <w:pPr>
        <w:spacing w:after="0" w:line="240" w:lineRule="auto"/>
        <w:jc w:val="both"/>
        <w:rPr>
          <w:rFonts w:ascii="Verdana" w:hAnsi="Verdana" w:cs="Arial"/>
          <w:bCs/>
          <w:sz w:val="20"/>
          <w:szCs w:val="20"/>
        </w:rPr>
      </w:pPr>
    </w:p>
    <w:p w14:paraId="75FE9BFF" w14:textId="1A9D1854" w:rsidR="002B3025" w:rsidRPr="00DC0DD8" w:rsidRDefault="002B3025" w:rsidP="00551D66">
      <w:pPr>
        <w:pStyle w:val="Prrafodelista"/>
        <w:numPr>
          <w:ilvl w:val="0"/>
          <w:numId w:val="40"/>
        </w:numPr>
        <w:spacing w:after="0" w:line="240" w:lineRule="auto"/>
        <w:ind w:left="567" w:hanging="283"/>
        <w:jc w:val="both"/>
        <w:rPr>
          <w:rFonts w:ascii="Verdana" w:eastAsia="Arial" w:hAnsi="Verdana" w:cs="Arial"/>
          <w:b/>
          <w:sz w:val="20"/>
          <w:szCs w:val="20"/>
        </w:rPr>
      </w:pPr>
      <w:r w:rsidRPr="00DC0DD8">
        <w:rPr>
          <w:rFonts w:ascii="Verdana" w:eastAsia="Arial" w:hAnsi="Verdana" w:cs="Arial"/>
          <w:b/>
          <w:sz w:val="20"/>
          <w:szCs w:val="20"/>
        </w:rPr>
        <w:t>Escenarios de choques de tasa de interés</w:t>
      </w:r>
    </w:p>
    <w:p w14:paraId="54CE808D" w14:textId="77777777" w:rsidR="006164D3" w:rsidRPr="006164D3" w:rsidRDefault="006164D3" w:rsidP="006164D3">
      <w:pPr>
        <w:pStyle w:val="Prrafodelista"/>
        <w:spacing w:after="0" w:line="240" w:lineRule="auto"/>
        <w:ind w:left="567"/>
        <w:jc w:val="both"/>
        <w:rPr>
          <w:rFonts w:ascii="Verdana" w:eastAsia="Arial" w:hAnsi="Verdana" w:cs="Arial"/>
          <w:b/>
          <w:sz w:val="20"/>
          <w:szCs w:val="20"/>
        </w:rPr>
      </w:pPr>
    </w:p>
    <w:p w14:paraId="6C7242DC" w14:textId="64567C57" w:rsidR="008F6538" w:rsidRPr="001C6CAB" w:rsidRDefault="008F6538" w:rsidP="008F6538">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5A7556">
        <w:rPr>
          <w:rFonts w:ascii="Verdana" w:hAnsi="Verdana"/>
          <w:sz w:val="20"/>
          <w:szCs w:val="20"/>
        </w:rPr>
        <w:t>33</w:t>
      </w:r>
      <w:r w:rsidRPr="001C6CAB">
        <w:rPr>
          <w:rFonts w:ascii="Verdana" w:hAnsi="Verdana"/>
          <w:sz w:val="20"/>
          <w:szCs w:val="20"/>
        </w:rPr>
        <w:t>.</w:t>
      </w:r>
    </w:p>
    <w:p w14:paraId="43B384A4" w14:textId="2BDDFDFB" w:rsidR="002B3025" w:rsidRPr="002B3025" w:rsidRDefault="002B3025" w:rsidP="12B437D6">
      <w:pPr>
        <w:pStyle w:val="Prrafodelista"/>
        <w:spacing w:line="240" w:lineRule="exact"/>
        <w:ind w:left="0"/>
        <w:jc w:val="both"/>
        <w:rPr>
          <w:rFonts w:ascii="Verdana" w:eastAsia="Arial" w:hAnsi="Verdana" w:cs="Arial"/>
          <w:sz w:val="20"/>
          <w:szCs w:val="20"/>
        </w:rPr>
      </w:pPr>
      <w:r w:rsidRPr="12B437D6">
        <w:rPr>
          <w:rFonts w:ascii="Verdana" w:eastAsia="Arial" w:hAnsi="Verdana" w:cs="Arial"/>
          <w:sz w:val="20"/>
          <w:szCs w:val="20"/>
        </w:rPr>
        <w:t xml:space="preserve">La entidad debe calcular el impacto en el VEP y en el MNI en el escenario base y en múltiples escenarios estresados, en este último caso se deben considerar: </w:t>
      </w:r>
      <w:r w:rsidR="007163C0">
        <w:rPr>
          <w:rFonts w:ascii="Verdana" w:eastAsia="Arial" w:hAnsi="Verdana" w:cs="Arial"/>
          <w:sz w:val="20"/>
          <w:szCs w:val="20"/>
        </w:rPr>
        <w:t>(</w:t>
      </w:r>
      <w:r w:rsidRPr="12B437D6">
        <w:rPr>
          <w:rFonts w:ascii="Verdana" w:eastAsia="Arial" w:hAnsi="Verdana" w:cs="Arial"/>
          <w:sz w:val="20"/>
          <w:szCs w:val="20"/>
        </w:rPr>
        <w:t xml:space="preserve">i) </w:t>
      </w:r>
      <w:r w:rsidR="007163C0">
        <w:rPr>
          <w:rFonts w:ascii="Verdana" w:eastAsia="Arial" w:hAnsi="Verdana" w:cs="Arial"/>
          <w:sz w:val="20"/>
          <w:szCs w:val="20"/>
        </w:rPr>
        <w:t>e</w:t>
      </w:r>
      <w:r w:rsidRPr="12B437D6">
        <w:rPr>
          <w:rFonts w:ascii="Verdana" w:eastAsia="Arial" w:hAnsi="Verdana" w:cs="Arial"/>
          <w:sz w:val="20"/>
          <w:szCs w:val="20"/>
        </w:rPr>
        <w:t xml:space="preserve">scenarios de choque de tasas de interés diseñados internamente que abordan </w:t>
      </w:r>
      <w:r w:rsidRPr="12B437D6">
        <w:rPr>
          <w:rFonts w:ascii="Verdana" w:eastAsia="Arial" w:hAnsi="Verdana" w:cs="Arial"/>
          <w:noProof/>
          <w:sz w:val="20"/>
          <w:szCs w:val="20"/>
          <w:lang w:eastAsia="es-CO"/>
        </w:rPr>
        <w:t>e</w:t>
      </w:r>
      <w:r w:rsidRPr="12B437D6">
        <w:rPr>
          <w:rFonts w:ascii="Verdana" w:eastAsia="Arial" w:hAnsi="Verdana" w:cs="Arial"/>
          <w:sz w:val="20"/>
          <w:szCs w:val="20"/>
        </w:rPr>
        <w:t xml:space="preserve">l perfil de riesgo de la entidad, de acuerdo con </w:t>
      </w:r>
      <w:r w:rsidR="002E0AEF">
        <w:rPr>
          <w:rFonts w:ascii="Verdana" w:eastAsia="Arial" w:hAnsi="Verdana" w:cs="Arial"/>
          <w:sz w:val="20"/>
          <w:szCs w:val="20"/>
        </w:rPr>
        <w:t>el proceso de auto</w:t>
      </w:r>
      <w:r w:rsidRPr="12B437D6">
        <w:rPr>
          <w:rFonts w:ascii="Verdana" w:eastAsia="Arial" w:hAnsi="Verdana" w:cs="Arial"/>
          <w:sz w:val="20"/>
          <w:szCs w:val="20"/>
        </w:rPr>
        <w:t xml:space="preserve">evaluación de suficiencia de capital; </w:t>
      </w:r>
      <w:r w:rsidR="007163C0">
        <w:rPr>
          <w:rFonts w:ascii="Verdana" w:eastAsia="Arial" w:hAnsi="Verdana" w:cs="Arial"/>
          <w:sz w:val="20"/>
          <w:szCs w:val="20"/>
        </w:rPr>
        <w:t>(</w:t>
      </w:r>
      <w:r w:rsidRPr="12B437D6">
        <w:rPr>
          <w:rFonts w:ascii="Verdana" w:eastAsia="Arial" w:hAnsi="Verdana" w:cs="Arial"/>
          <w:sz w:val="20"/>
          <w:szCs w:val="20"/>
        </w:rPr>
        <w:t xml:space="preserve">ii) </w:t>
      </w:r>
      <w:r w:rsidR="007163C0">
        <w:rPr>
          <w:rFonts w:ascii="Verdana" w:eastAsia="Arial" w:hAnsi="Verdana" w:cs="Arial"/>
          <w:sz w:val="20"/>
          <w:szCs w:val="20"/>
        </w:rPr>
        <w:lastRenderedPageBreak/>
        <w:t>e</w:t>
      </w:r>
      <w:r w:rsidRPr="12B437D6">
        <w:rPr>
          <w:rFonts w:ascii="Verdana" w:eastAsia="Arial" w:hAnsi="Verdana" w:cs="Arial"/>
          <w:sz w:val="20"/>
          <w:szCs w:val="20"/>
        </w:rPr>
        <w:t xml:space="preserve">scenarios de estrés de tasas de interés históricos e hipotéticos que tiendan a ser más severos que </w:t>
      </w:r>
      <w:r w:rsidRPr="007163C0">
        <w:rPr>
          <w:rFonts w:ascii="Verdana" w:eastAsia="Arial" w:hAnsi="Verdana" w:cs="Arial"/>
          <w:sz w:val="20"/>
          <w:szCs w:val="20"/>
        </w:rPr>
        <w:t xml:space="preserve">los escenarios de choque utilizados; </w:t>
      </w:r>
      <w:r w:rsidR="007163C0" w:rsidRPr="007163C0">
        <w:rPr>
          <w:rFonts w:ascii="Verdana" w:eastAsia="Arial" w:hAnsi="Verdana" w:cs="Arial"/>
          <w:sz w:val="20"/>
          <w:szCs w:val="20"/>
        </w:rPr>
        <w:t>(</w:t>
      </w:r>
      <w:r w:rsidRPr="007163C0">
        <w:rPr>
          <w:rFonts w:ascii="Verdana" w:eastAsia="Arial" w:hAnsi="Verdana" w:cs="Arial"/>
          <w:sz w:val="20"/>
          <w:szCs w:val="20"/>
        </w:rPr>
        <w:t xml:space="preserve">iii) </w:t>
      </w:r>
      <w:r w:rsidR="007163C0" w:rsidRPr="007163C0">
        <w:rPr>
          <w:rFonts w:ascii="Verdana" w:eastAsia="Arial" w:hAnsi="Verdana" w:cs="Arial"/>
          <w:sz w:val="20"/>
          <w:szCs w:val="20"/>
        </w:rPr>
        <w:t>l</w:t>
      </w:r>
      <w:r w:rsidRPr="007163C0">
        <w:rPr>
          <w:rFonts w:ascii="Verdana" w:eastAsia="Arial" w:hAnsi="Verdana" w:cs="Arial"/>
          <w:sz w:val="20"/>
          <w:szCs w:val="20"/>
        </w:rPr>
        <w:t xml:space="preserve">os seis escenarios de choque de tasas de interés prescritos en el </w:t>
      </w:r>
      <w:r w:rsidR="007163C0" w:rsidRPr="007163C0">
        <w:rPr>
          <w:rFonts w:ascii="Verdana" w:eastAsia="Arial" w:hAnsi="Verdana" w:cs="Arial"/>
          <w:sz w:val="20"/>
          <w:szCs w:val="20"/>
        </w:rPr>
        <w:t>a</w:t>
      </w:r>
      <w:r w:rsidRPr="007163C0">
        <w:rPr>
          <w:rFonts w:ascii="Verdana" w:eastAsia="Arial" w:hAnsi="Verdana" w:cs="Arial"/>
          <w:sz w:val="20"/>
          <w:szCs w:val="20"/>
        </w:rPr>
        <w:t>nexo 15</w:t>
      </w:r>
      <w:r w:rsidR="007163C0" w:rsidRPr="007163C0">
        <w:rPr>
          <w:rFonts w:ascii="Verdana" w:eastAsia="Arial" w:hAnsi="Verdana" w:cs="Arial"/>
          <w:sz w:val="20"/>
          <w:szCs w:val="20"/>
        </w:rPr>
        <w:t xml:space="preserve"> del presente</w:t>
      </w:r>
      <w:r w:rsidRPr="007163C0">
        <w:rPr>
          <w:rFonts w:ascii="Verdana" w:eastAsia="Arial" w:hAnsi="Verdana" w:cs="Arial"/>
          <w:sz w:val="20"/>
          <w:szCs w:val="20"/>
        </w:rPr>
        <w:t xml:space="preserve"> </w:t>
      </w:r>
      <w:r w:rsidR="007163C0" w:rsidRPr="007163C0">
        <w:rPr>
          <w:rFonts w:ascii="Verdana" w:eastAsia="Arial" w:hAnsi="Verdana" w:cs="Arial"/>
          <w:sz w:val="20"/>
          <w:szCs w:val="20"/>
        </w:rPr>
        <w:t xml:space="preserve">capítulo </w:t>
      </w:r>
      <w:r w:rsidRPr="007163C0">
        <w:rPr>
          <w:rFonts w:ascii="Verdana" w:eastAsia="Arial" w:hAnsi="Verdana" w:cs="Arial"/>
          <w:sz w:val="20"/>
          <w:szCs w:val="20"/>
        </w:rPr>
        <w:t>de la metodología estándar</w:t>
      </w:r>
      <w:r w:rsidR="007163C0" w:rsidRPr="007163C0">
        <w:rPr>
          <w:rFonts w:ascii="Verdana" w:eastAsia="Arial" w:hAnsi="Verdana" w:cs="Arial"/>
          <w:sz w:val="20"/>
          <w:szCs w:val="20"/>
        </w:rPr>
        <w:t>;</w:t>
      </w:r>
      <w:r w:rsidRPr="007163C0">
        <w:rPr>
          <w:rFonts w:ascii="Verdana" w:eastAsia="Arial" w:hAnsi="Verdana" w:cs="Arial"/>
          <w:sz w:val="20"/>
          <w:szCs w:val="20"/>
        </w:rPr>
        <w:t xml:space="preserve"> y </w:t>
      </w:r>
      <w:r w:rsidR="007163C0" w:rsidRPr="007163C0">
        <w:rPr>
          <w:rFonts w:ascii="Verdana" w:eastAsia="Arial" w:hAnsi="Verdana" w:cs="Arial"/>
          <w:sz w:val="20"/>
          <w:szCs w:val="20"/>
        </w:rPr>
        <w:t>(</w:t>
      </w:r>
      <w:r w:rsidRPr="007163C0">
        <w:rPr>
          <w:rFonts w:ascii="Verdana" w:eastAsia="Arial" w:hAnsi="Verdana" w:cs="Arial"/>
          <w:sz w:val="20"/>
          <w:szCs w:val="20"/>
        </w:rPr>
        <w:t>iv</w:t>
      </w:r>
      <w:r w:rsidRPr="12B437D6">
        <w:rPr>
          <w:rFonts w:ascii="Verdana" w:eastAsia="Arial" w:hAnsi="Verdana" w:cs="Arial"/>
          <w:sz w:val="20"/>
          <w:szCs w:val="20"/>
        </w:rPr>
        <w:t xml:space="preserve">) </w:t>
      </w:r>
      <w:r w:rsidR="007163C0">
        <w:rPr>
          <w:rFonts w:ascii="Verdana" w:eastAsia="Arial" w:hAnsi="Verdana" w:cs="Arial"/>
          <w:sz w:val="20"/>
          <w:szCs w:val="20"/>
        </w:rPr>
        <w:t>c</w:t>
      </w:r>
      <w:r w:rsidRPr="12B437D6">
        <w:rPr>
          <w:rFonts w:ascii="Verdana" w:eastAsia="Arial" w:hAnsi="Verdana" w:cs="Arial"/>
          <w:sz w:val="20"/>
          <w:szCs w:val="20"/>
        </w:rPr>
        <w:t>ualquier escenario adicional de interés del supervisor.</w:t>
      </w:r>
    </w:p>
    <w:p w14:paraId="00012549" w14:textId="246FF7EE" w:rsidR="008F6538" w:rsidRPr="001C6CAB" w:rsidRDefault="008F6538" w:rsidP="008F6538">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5A7556">
        <w:rPr>
          <w:rFonts w:ascii="Verdana" w:hAnsi="Verdana"/>
          <w:sz w:val="20"/>
          <w:szCs w:val="20"/>
        </w:rPr>
        <w:t>34</w:t>
      </w:r>
      <w:r w:rsidRPr="001C6CAB">
        <w:rPr>
          <w:rFonts w:ascii="Verdana" w:hAnsi="Verdana"/>
          <w:sz w:val="20"/>
          <w:szCs w:val="20"/>
        </w:rPr>
        <w:t>.</w:t>
      </w:r>
    </w:p>
    <w:p w14:paraId="319D9F4E" w14:textId="77777777" w:rsidR="002B3025" w:rsidRPr="002B3025" w:rsidRDefault="002B3025" w:rsidP="00B929BB">
      <w:pPr>
        <w:spacing w:line="240" w:lineRule="exact"/>
        <w:jc w:val="both"/>
        <w:rPr>
          <w:rFonts w:ascii="Verdana" w:eastAsia="Arial" w:hAnsi="Verdana" w:cs="Arial"/>
          <w:bCs/>
          <w:sz w:val="20"/>
          <w:szCs w:val="20"/>
        </w:rPr>
      </w:pPr>
      <w:r w:rsidRPr="002B3025">
        <w:rPr>
          <w:rFonts w:ascii="Verdana" w:eastAsia="Arial" w:hAnsi="Verdana" w:cs="Arial"/>
          <w:bCs/>
          <w:sz w:val="20"/>
          <w:szCs w:val="20"/>
        </w:rPr>
        <w:t>La entidad debe medir periódicamente el RTILB y con mayor frecuencia en épocas de mayor volatilidad de las tasas de interés o mayores niveles de RTILB, y su exposición al RTILB en términos de cambios en el VEP y en el MNI en diversos escenarios de choque de tasas de interés para posibles cambios en el nivel y la forma de las curvas de rendimiento de la tasa de interés y de los cambios en la relación entre las diferentes tasas de interés.</w:t>
      </w:r>
    </w:p>
    <w:p w14:paraId="00127C6B" w14:textId="7D9771F8" w:rsidR="008F6538" w:rsidRPr="001C6CAB" w:rsidRDefault="008F6538" w:rsidP="008F6538">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5A7556">
        <w:rPr>
          <w:rFonts w:ascii="Verdana" w:hAnsi="Verdana"/>
          <w:sz w:val="20"/>
          <w:szCs w:val="20"/>
        </w:rPr>
        <w:t>35</w:t>
      </w:r>
      <w:r w:rsidRPr="001C6CAB">
        <w:rPr>
          <w:rFonts w:ascii="Verdana" w:hAnsi="Verdana"/>
          <w:sz w:val="20"/>
          <w:szCs w:val="20"/>
        </w:rPr>
        <w:t>.</w:t>
      </w:r>
    </w:p>
    <w:p w14:paraId="085CEE87" w14:textId="7B726411" w:rsidR="002B3025" w:rsidRPr="002B3025" w:rsidRDefault="002B3025" w:rsidP="12B437D6">
      <w:pPr>
        <w:spacing w:line="240" w:lineRule="exact"/>
        <w:jc w:val="both"/>
        <w:rPr>
          <w:rFonts w:ascii="Verdana" w:eastAsia="Arial" w:hAnsi="Verdana" w:cs="Arial"/>
          <w:sz w:val="20"/>
          <w:szCs w:val="20"/>
        </w:rPr>
      </w:pPr>
      <w:r w:rsidRPr="12B437D6">
        <w:rPr>
          <w:rFonts w:ascii="Verdana" w:eastAsia="Arial" w:hAnsi="Verdana" w:cs="Arial"/>
          <w:sz w:val="20"/>
          <w:szCs w:val="20"/>
        </w:rPr>
        <w:t xml:space="preserve">La entidad debe evaluar las exposiciones en las que tenga posiciones cambiarias significativas. Los escenarios de choque de las tasas de interés deben ser específicos para cada moneda y coherentes con las características económicas subyacentes. Debe incluir en su medición interna métodos para agregar el RTILB entre las diferentes monedas. El uso de supuestos sobre la correlación o dependencia entre las tasas de interés en diferentes </w:t>
      </w:r>
      <w:r w:rsidR="008F6538" w:rsidRPr="12B437D6">
        <w:rPr>
          <w:rFonts w:ascii="Verdana" w:eastAsia="Arial" w:hAnsi="Verdana" w:cs="Arial"/>
          <w:sz w:val="20"/>
          <w:szCs w:val="20"/>
        </w:rPr>
        <w:t>monedas</w:t>
      </w:r>
      <w:r w:rsidRPr="12B437D6">
        <w:rPr>
          <w:rFonts w:ascii="Verdana" w:eastAsia="Arial" w:hAnsi="Verdana" w:cs="Arial"/>
          <w:sz w:val="20"/>
          <w:szCs w:val="20"/>
        </w:rPr>
        <w:t xml:space="preserve"> debe estar sustentado técnicamente. La entidad debe tener en cuenta el impacto de los supuestos con respecto a la dependencia entre las tasas de interés en las diferentes monedas.</w:t>
      </w:r>
    </w:p>
    <w:p w14:paraId="0BEF11C5" w14:textId="2B87F065" w:rsidR="008F6538" w:rsidRPr="001C6CAB" w:rsidRDefault="008F6538" w:rsidP="008F6538">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5A7556">
        <w:rPr>
          <w:rFonts w:ascii="Verdana" w:hAnsi="Verdana"/>
          <w:sz w:val="20"/>
          <w:szCs w:val="20"/>
        </w:rPr>
        <w:t>36</w:t>
      </w:r>
      <w:r w:rsidRPr="001C6CAB">
        <w:rPr>
          <w:rFonts w:ascii="Verdana" w:hAnsi="Verdana"/>
          <w:sz w:val="20"/>
          <w:szCs w:val="20"/>
        </w:rPr>
        <w:t>.</w:t>
      </w:r>
    </w:p>
    <w:p w14:paraId="18E70AAE" w14:textId="77777777" w:rsidR="002B3025" w:rsidRPr="002B3025" w:rsidRDefault="002B3025" w:rsidP="00B929BB">
      <w:pPr>
        <w:jc w:val="both"/>
        <w:rPr>
          <w:rFonts w:ascii="Verdana" w:eastAsia="Arial" w:hAnsi="Verdana" w:cs="Arial"/>
          <w:bCs/>
          <w:sz w:val="20"/>
          <w:szCs w:val="20"/>
        </w:rPr>
      </w:pPr>
      <w:r w:rsidRPr="002B3025">
        <w:rPr>
          <w:rFonts w:ascii="Verdana" w:eastAsia="Arial" w:hAnsi="Verdana" w:cs="Arial"/>
          <w:bCs/>
          <w:sz w:val="20"/>
          <w:szCs w:val="20"/>
        </w:rPr>
        <w:t>Así mismo, al seleccionar los escenarios de choques de tasas de interés la entidad debe:</w:t>
      </w:r>
    </w:p>
    <w:p w14:paraId="5F616CBF" w14:textId="77777777" w:rsidR="006164D3" w:rsidRDefault="002B3025" w:rsidP="006164D3">
      <w:pPr>
        <w:pStyle w:val="Prrafodelista"/>
        <w:numPr>
          <w:ilvl w:val="0"/>
          <w:numId w:val="5"/>
        </w:numPr>
        <w:spacing w:after="0" w:line="240" w:lineRule="exact"/>
        <w:ind w:left="567" w:hanging="567"/>
        <w:contextualSpacing w:val="0"/>
        <w:jc w:val="both"/>
        <w:rPr>
          <w:rFonts w:ascii="Verdana" w:eastAsia="Arial" w:hAnsi="Verdana" w:cs="Arial"/>
          <w:bCs/>
          <w:sz w:val="20"/>
          <w:szCs w:val="20"/>
        </w:rPr>
      </w:pPr>
      <w:r w:rsidRPr="002B3025">
        <w:rPr>
          <w:rFonts w:ascii="Verdana" w:eastAsia="Arial" w:hAnsi="Verdana" w:cs="Arial"/>
          <w:bCs/>
          <w:sz w:val="20"/>
          <w:szCs w:val="20"/>
        </w:rPr>
        <w:t>Garantizar que sus escenarios de perturbación de tasas de interés sean proporcionales a la naturaleza, escala y complejidad de sus actividades, así como a su perfil de riesgo, teniendo en cuenta cambios repentinos y graduales paralelos y no paralelos, y cambios en las curvas de rendimiento. Los escenarios deben basarse en los movimientos históricos y el comportamiento de las tasas de interés, así como en simulaciones de tasas de interés futuras.</w:t>
      </w:r>
    </w:p>
    <w:p w14:paraId="05C09EF6" w14:textId="77777777" w:rsidR="006164D3" w:rsidRDefault="006164D3" w:rsidP="006164D3">
      <w:pPr>
        <w:pStyle w:val="Prrafodelista"/>
        <w:spacing w:after="0" w:line="240" w:lineRule="exact"/>
        <w:ind w:left="567"/>
        <w:contextualSpacing w:val="0"/>
        <w:jc w:val="both"/>
        <w:rPr>
          <w:rFonts w:ascii="Verdana" w:eastAsia="Arial" w:hAnsi="Verdana" w:cs="Arial"/>
          <w:bCs/>
          <w:sz w:val="20"/>
          <w:szCs w:val="20"/>
        </w:rPr>
      </w:pPr>
    </w:p>
    <w:p w14:paraId="3CE2E93B" w14:textId="77777777" w:rsidR="006164D3" w:rsidRDefault="002B3025" w:rsidP="006164D3">
      <w:pPr>
        <w:pStyle w:val="Prrafodelista"/>
        <w:numPr>
          <w:ilvl w:val="0"/>
          <w:numId w:val="5"/>
        </w:numPr>
        <w:spacing w:after="0" w:line="240" w:lineRule="exact"/>
        <w:ind w:left="567" w:hanging="567"/>
        <w:contextualSpacing w:val="0"/>
        <w:jc w:val="both"/>
        <w:rPr>
          <w:rFonts w:ascii="Verdana" w:eastAsia="Arial" w:hAnsi="Verdana" w:cs="Arial"/>
          <w:bCs/>
          <w:sz w:val="20"/>
          <w:szCs w:val="20"/>
        </w:rPr>
      </w:pPr>
      <w:r w:rsidRPr="006164D3">
        <w:rPr>
          <w:rFonts w:ascii="Verdana" w:eastAsia="Arial" w:hAnsi="Verdana" w:cs="Arial"/>
          <w:bCs/>
          <w:sz w:val="20"/>
          <w:szCs w:val="20"/>
        </w:rPr>
        <w:t>Establecer escenarios de tasas de interés que reflejen cambios en las relaciones entre las tasas clave de mercado para abordar el riesgo de base.</w:t>
      </w:r>
    </w:p>
    <w:p w14:paraId="681A5778" w14:textId="77777777" w:rsidR="006164D3" w:rsidRPr="006164D3" w:rsidRDefault="006164D3" w:rsidP="006164D3">
      <w:pPr>
        <w:pStyle w:val="Prrafodelista"/>
        <w:rPr>
          <w:rFonts w:ascii="Verdana" w:eastAsia="Arial" w:hAnsi="Verdana" w:cs="Arial"/>
          <w:bCs/>
          <w:sz w:val="20"/>
          <w:szCs w:val="20"/>
        </w:rPr>
      </w:pPr>
    </w:p>
    <w:p w14:paraId="2255A3D6" w14:textId="77777777" w:rsidR="006164D3" w:rsidRDefault="002B3025" w:rsidP="006164D3">
      <w:pPr>
        <w:pStyle w:val="Prrafodelista"/>
        <w:numPr>
          <w:ilvl w:val="0"/>
          <w:numId w:val="5"/>
        </w:numPr>
        <w:spacing w:after="0" w:line="240" w:lineRule="exact"/>
        <w:ind w:left="567" w:hanging="567"/>
        <w:contextualSpacing w:val="0"/>
        <w:jc w:val="both"/>
        <w:rPr>
          <w:rFonts w:ascii="Verdana" w:eastAsia="Arial" w:hAnsi="Verdana" w:cs="Arial"/>
          <w:bCs/>
          <w:sz w:val="20"/>
          <w:szCs w:val="20"/>
        </w:rPr>
      </w:pPr>
      <w:r w:rsidRPr="006164D3">
        <w:rPr>
          <w:rFonts w:ascii="Verdana" w:eastAsia="Arial" w:hAnsi="Verdana" w:cs="Arial"/>
          <w:bCs/>
          <w:sz w:val="20"/>
          <w:szCs w:val="20"/>
        </w:rPr>
        <w:t>Evaluar de manera particular los escenarios de choque de tasas de interés que excedan el límite de las pruebas de valores atípicos y evaluar la concentración de riesgo en instrumentos o mercados específicos, considerando el tiempo necesario para liquidar o mitigar dichas posiciones en escenarios de estrés.</w:t>
      </w:r>
    </w:p>
    <w:p w14:paraId="4A7AFF71" w14:textId="77777777" w:rsidR="006164D3" w:rsidRPr="006164D3" w:rsidRDefault="006164D3" w:rsidP="006164D3">
      <w:pPr>
        <w:pStyle w:val="Prrafodelista"/>
        <w:rPr>
          <w:rFonts w:ascii="Verdana" w:eastAsia="Arial" w:hAnsi="Verdana" w:cs="Arial"/>
          <w:bCs/>
          <w:sz w:val="20"/>
          <w:szCs w:val="20"/>
        </w:rPr>
      </w:pPr>
    </w:p>
    <w:p w14:paraId="60F0F62F" w14:textId="77777777" w:rsidR="006164D3" w:rsidRDefault="002B3025" w:rsidP="006164D3">
      <w:pPr>
        <w:pStyle w:val="Prrafodelista"/>
        <w:numPr>
          <w:ilvl w:val="0"/>
          <w:numId w:val="5"/>
        </w:numPr>
        <w:spacing w:after="0" w:line="240" w:lineRule="exact"/>
        <w:ind w:left="567" w:hanging="567"/>
        <w:contextualSpacing w:val="0"/>
        <w:jc w:val="both"/>
        <w:rPr>
          <w:rFonts w:ascii="Verdana" w:eastAsia="Arial" w:hAnsi="Verdana" w:cs="Arial"/>
          <w:bCs/>
          <w:sz w:val="20"/>
          <w:szCs w:val="20"/>
        </w:rPr>
      </w:pPr>
      <w:r w:rsidRPr="006164D3">
        <w:rPr>
          <w:rFonts w:ascii="Verdana" w:eastAsia="Arial" w:hAnsi="Verdana" w:cs="Arial"/>
          <w:bCs/>
          <w:sz w:val="20"/>
          <w:szCs w:val="20"/>
        </w:rPr>
        <w:t>Verificar que los supuestos de diversificación sean apropiadamente estresados.</w:t>
      </w:r>
    </w:p>
    <w:p w14:paraId="172150ED" w14:textId="77777777" w:rsidR="006164D3" w:rsidRPr="006164D3" w:rsidRDefault="006164D3" w:rsidP="006164D3">
      <w:pPr>
        <w:pStyle w:val="Prrafodelista"/>
        <w:rPr>
          <w:rFonts w:ascii="Verdana" w:eastAsia="Arial" w:hAnsi="Verdana" w:cs="Arial"/>
          <w:bCs/>
          <w:sz w:val="20"/>
          <w:szCs w:val="20"/>
        </w:rPr>
      </w:pPr>
    </w:p>
    <w:p w14:paraId="287A0490" w14:textId="618729B8" w:rsidR="002B3025" w:rsidRDefault="002B3025" w:rsidP="00B929BB">
      <w:pPr>
        <w:pStyle w:val="Prrafodelista"/>
        <w:numPr>
          <w:ilvl w:val="0"/>
          <w:numId w:val="5"/>
        </w:numPr>
        <w:spacing w:after="0" w:line="240" w:lineRule="exact"/>
        <w:ind w:left="567" w:hanging="567"/>
        <w:contextualSpacing w:val="0"/>
        <w:jc w:val="both"/>
        <w:rPr>
          <w:rFonts w:ascii="Verdana" w:eastAsia="Arial" w:hAnsi="Verdana" w:cs="Arial"/>
          <w:bCs/>
          <w:sz w:val="20"/>
          <w:szCs w:val="20"/>
        </w:rPr>
      </w:pPr>
      <w:r w:rsidRPr="006164D3">
        <w:rPr>
          <w:rFonts w:ascii="Verdana" w:eastAsia="Arial" w:hAnsi="Verdana" w:cs="Arial"/>
          <w:bCs/>
          <w:sz w:val="20"/>
          <w:szCs w:val="20"/>
        </w:rPr>
        <w:t>Considerar cualquier escenario adicional de choque de tasas de interés requerido por la SFC.</w:t>
      </w:r>
    </w:p>
    <w:p w14:paraId="6CD511A6" w14:textId="77777777" w:rsidR="006164D3" w:rsidRPr="006164D3" w:rsidRDefault="006164D3" w:rsidP="006164D3">
      <w:pPr>
        <w:spacing w:after="0" w:line="240" w:lineRule="exact"/>
        <w:jc w:val="both"/>
        <w:rPr>
          <w:rFonts w:ascii="Verdana" w:eastAsia="Arial" w:hAnsi="Verdana" w:cs="Arial"/>
          <w:bCs/>
          <w:sz w:val="20"/>
          <w:szCs w:val="20"/>
        </w:rPr>
      </w:pPr>
    </w:p>
    <w:p w14:paraId="63BC6581" w14:textId="1D69A830" w:rsidR="00C27493" w:rsidRPr="001C6CAB" w:rsidRDefault="00C27493" w:rsidP="00C27493">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5A7556">
        <w:rPr>
          <w:rFonts w:ascii="Verdana" w:hAnsi="Verdana"/>
          <w:sz w:val="20"/>
          <w:szCs w:val="20"/>
        </w:rPr>
        <w:t>37</w:t>
      </w:r>
      <w:r w:rsidRPr="001C6CAB">
        <w:rPr>
          <w:rFonts w:ascii="Verdana" w:hAnsi="Verdana"/>
          <w:sz w:val="20"/>
          <w:szCs w:val="20"/>
        </w:rPr>
        <w:t>.</w:t>
      </w:r>
    </w:p>
    <w:p w14:paraId="671218BB" w14:textId="5A6922D5" w:rsidR="002B3025" w:rsidRPr="002B3025" w:rsidRDefault="002B3025" w:rsidP="006164D3">
      <w:pPr>
        <w:jc w:val="both"/>
        <w:rPr>
          <w:rFonts w:ascii="Verdana" w:eastAsia="Arial" w:hAnsi="Verdana" w:cs="Arial"/>
          <w:bCs/>
          <w:sz w:val="20"/>
          <w:szCs w:val="20"/>
        </w:rPr>
      </w:pPr>
      <w:r w:rsidRPr="002B3025">
        <w:rPr>
          <w:rFonts w:ascii="Verdana" w:eastAsia="Arial" w:hAnsi="Verdana" w:cs="Arial"/>
          <w:bCs/>
          <w:sz w:val="20"/>
          <w:szCs w:val="20"/>
        </w:rPr>
        <w:t xml:space="preserve">Los resultados de los escenarios de choques de tasas de interés deben contribuir a la toma de decisiones en el nivel de gestión adecuado. Esto incluye decisiones estratégicas y de negocio (los supuestos para cambiar las tasas de interés definidas por la entidad, tales como los utilizados en operaciones de crédito y retribución de los depósitos), la </w:t>
      </w:r>
      <w:r w:rsidR="00BE7CA4">
        <w:rPr>
          <w:rFonts w:ascii="Verdana" w:eastAsia="Arial" w:hAnsi="Verdana" w:cs="Arial"/>
          <w:bCs/>
          <w:sz w:val="20"/>
          <w:szCs w:val="20"/>
        </w:rPr>
        <w:t>auto</w:t>
      </w:r>
      <w:r w:rsidRPr="002B3025">
        <w:rPr>
          <w:rFonts w:ascii="Verdana" w:eastAsia="Arial" w:hAnsi="Verdana" w:cs="Arial"/>
          <w:bCs/>
          <w:sz w:val="20"/>
          <w:szCs w:val="20"/>
        </w:rPr>
        <w:t>evaluación de suficiencia de capital y decisiones de gestión de riesgos por parte de la estructura del gobierno de riesgos. Los resultados también deben tenerse en cuenta al establecer y revisar las políticas y los límites del RTILB.</w:t>
      </w:r>
    </w:p>
    <w:p w14:paraId="405CDB4D" w14:textId="22F53B3D" w:rsidR="002B3025" w:rsidRPr="00447482" w:rsidRDefault="002B3025" w:rsidP="00551D66">
      <w:pPr>
        <w:pStyle w:val="Prrafodelista"/>
        <w:numPr>
          <w:ilvl w:val="0"/>
          <w:numId w:val="40"/>
        </w:numPr>
        <w:spacing w:after="0" w:line="240" w:lineRule="exact"/>
        <w:ind w:left="567" w:hanging="283"/>
        <w:jc w:val="both"/>
        <w:rPr>
          <w:rFonts w:ascii="Verdana" w:eastAsia="Arial" w:hAnsi="Verdana" w:cs="Arial"/>
          <w:b/>
          <w:sz w:val="20"/>
          <w:szCs w:val="20"/>
        </w:rPr>
      </w:pPr>
      <w:r w:rsidRPr="00447482">
        <w:rPr>
          <w:rFonts w:ascii="Verdana" w:eastAsia="Arial" w:hAnsi="Verdana" w:cs="Arial"/>
          <w:b/>
          <w:sz w:val="20"/>
          <w:szCs w:val="20"/>
        </w:rPr>
        <w:t>Pruebas de estrés del RTILB</w:t>
      </w:r>
    </w:p>
    <w:p w14:paraId="385CFBBE" w14:textId="77777777" w:rsidR="006164D3" w:rsidRPr="006164D3" w:rsidRDefault="006164D3" w:rsidP="006164D3">
      <w:pPr>
        <w:spacing w:after="0" w:line="240" w:lineRule="exact"/>
        <w:jc w:val="both"/>
        <w:rPr>
          <w:rFonts w:ascii="Verdana" w:eastAsia="Arial" w:hAnsi="Verdana" w:cs="Arial"/>
          <w:b/>
          <w:sz w:val="20"/>
          <w:szCs w:val="20"/>
        </w:rPr>
      </w:pPr>
    </w:p>
    <w:p w14:paraId="552F50BD" w14:textId="0446AC4A" w:rsidR="00C27493" w:rsidRPr="001C6CAB" w:rsidRDefault="00C27493" w:rsidP="00C27493">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5A7556">
        <w:rPr>
          <w:rFonts w:ascii="Verdana" w:hAnsi="Verdana"/>
          <w:sz w:val="20"/>
          <w:szCs w:val="20"/>
        </w:rPr>
        <w:t>38</w:t>
      </w:r>
      <w:r w:rsidRPr="001C6CAB">
        <w:rPr>
          <w:rFonts w:ascii="Verdana" w:hAnsi="Verdana"/>
          <w:sz w:val="20"/>
          <w:szCs w:val="20"/>
        </w:rPr>
        <w:t>.</w:t>
      </w:r>
    </w:p>
    <w:p w14:paraId="4555F582" w14:textId="30D04F29" w:rsidR="002B3025" w:rsidRPr="00C27493" w:rsidRDefault="002B3025" w:rsidP="00C27493">
      <w:pPr>
        <w:spacing w:after="0" w:line="240" w:lineRule="exact"/>
        <w:jc w:val="both"/>
        <w:rPr>
          <w:rFonts w:ascii="Verdana" w:eastAsia="Arial" w:hAnsi="Verdana" w:cs="Arial"/>
          <w:bCs/>
          <w:sz w:val="20"/>
          <w:szCs w:val="20"/>
        </w:rPr>
      </w:pPr>
      <w:r w:rsidRPr="00C27493">
        <w:rPr>
          <w:rFonts w:ascii="Verdana" w:eastAsia="Arial" w:hAnsi="Verdana" w:cs="Arial"/>
          <w:bCs/>
          <w:sz w:val="20"/>
          <w:szCs w:val="20"/>
        </w:rPr>
        <w:t xml:space="preserve">La entidad debe realizar pruebas de estrés rigurosas y prospectivas que identifiquen las posibles consecuencias adversas de cambios severos en las condiciones del mercado sobre su VEP y MNI. Para las pruebas de </w:t>
      </w:r>
      <w:r w:rsidRPr="00821E13">
        <w:rPr>
          <w:rFonts w:ascii="Verdana" w:eastAsia="Arial" w:hAnsi="Verdana" w:cs="Arial"/>
          <w:bCs/>
          <w:sz w:val="20"/>
          <w:szCs w:val="20"/>
        </w:rPr>
        <w:t>estrés que involucren el RTILB, la entidad debe incluir los cambios en el comportamiento de su base de clientes. Las pruebas de estrés para el RTILB deben integrarse en el marco general de pruebas de resistencia del capítulo</w:t>
      </w:r>
      <w:r w:rsidR="00821E13" w:rsidRPr="00821E13">
        <w:rPr>
          <w:rFonts w:ascii="Verdana" w:eastAsia="Arial" w:hAnsi="Verdana" w:cs="Arial"/>
          <w:bCs/>
          <w:sz w:val="20"/>
          <w:szCs w:val="20"/>
        </w:rPr>
        <w:t xml:space="preserve"> 9 de la parte 2 de la </w:t>
      </w:r>
      <w:r w:rsidR="006317A5">
        <w:rPr>
          <w:rFonts w:ascii="Verdana" w:eastAsia="Arial" w:hAnsi="Verdana" w:cs="Arial"/>
          <w:bCs/>
          <w:sz w:val="20"/>
          <w:szCs w:val="20"/>
        </w:rPr>
        <w:t>CBF</w:t>
      </w:r>
      <w:r w:rsidR="00821E13" w:rsidRPr="00821E13">
        <w:rPr>
          <w:rFonts w:ascii="Verdana" w:eastAsia="Arial" w:hAnsi="Verdana" w:cs="Arial"/>
          <w:bCs/>
          <w:sz w:val="20"/>
          <w:szCs w:val="20"/>
        </w:rPr>
        <w:t>.</w:t>
      </w:r>
    </w:p>
    <w:p w14:paraId="16240D14" w14:textId="77777777" w:rsidR="00C27493" w:rsidRPr="001D3D58" w:rsidRDefault="00C27493" w:rsidP="001D3D58">
      <w:pPr>
        <w:spacing w:after="0" w:line="240" w:lineRule="exact"/>
        <w:jc w:val="both"/>
        <w:rPr>
          <w:rFonts w:ascii="Verdana" w:eastAsia="Arial" w:hAnsi="Verdana" w:cs="Arial"/>
          <w:bCs/>
          <w:sz w:val="20"/>
          <w:szCs w:val="20"/>
        </w:rPr>
      </w:pPr>
    </w:p>
    <w:p w14:paraId="4248C4FF" w14:textId="77777777" w:rsidR="009551C6" w:rsidRDefault="009551C6" w:rsidP="00C27493">
      <w:pPr>
        <w:spacing w:after="0"/>
        <w:rPr>
          <w:rFonts w:ascii="Verdana" w:hAnsi="Verdana"/>
          <w:sz w:val="20"/>
          <w:szCs w:val="20"/>
        </w:rPr>
      </w:pPr>
    </w:p>
    <w:p w14:paraId="4E166D8A" w14:textId="39DDD1EE" w:rsidR="00C27493" w:rsidRPr="001C6CAB" w:rsidRDefault="00C27493" w:rsidP="00C27493">
      <w:pPr>
        <w:spacing w:after="0"/>
        <w:rPr>
          <w:rFonts w:ascii="Verdana" w:hAnsi="Verdana"/>
          <w:sz w:val="20"/>
          <w:szCs w:val="20"/>
        </w:rPr>
      </w:pPr>
      <w:r w:rsidRPr="001C6CAB">
        <w:rPr>
          <w:rFonts w:ascii="Verdana" w:hAnsi="Verdana"/>
          <w:sz w:val="20"/>
          <w:szCs w:val="20"/>
        </w:rPr>
        <w:lastRenderedPageBreak/>
        <w:t>1.1.3.</w:t>
      </w:r>
      <w:r>
        <w:rPr>
          <w:rFonts w:ascii="Verdana" w:hAnsi="Verdana"/>
          <w:sz w:val="20"/>
          <w:szCs w:val="20"/>
        </w:rPr>
        <w:t>2</w:t>
      </w:r>
      <w:r w:rsidR="005A7556">
        <w:rPr>
          <w:rFonts w:ascii="Verdana" w:hAnsi="Verdana"/>
          <w:sz w:val="20"/>
          <w:szCs w:val="20"/>
        </w:rPr>
        <w:t>39</w:t>
      </w:r>
      <w:r w:rsidRPr="001C6CAB">
        <w:rPr>
          <w:rFonts w:ascii="Verdana" w:hAnsi="Verdana"/>
          <w:sz w:val="20"/>
          <w:szCs w:val="20"/>
        </w:rPr>
        <w:t>.</w:t>
      </w:r>
    </w:p>
    <w:p w14:paraId="3193E4FA" w14:textId="69C52C48" w:rsidR="00C27493" w:rsidRDefault="002B3025" w:rsidP="006164D3">
      <w:pPr>
        <w:spacing w:after="0" w:line="240" w:lineRule="exact"/>
        <w:jc w:val="both"/>
        <w:rPr>
          <w:rFonts w:ascii="Verdana" w:eastAsia="Arial" w:hAnsi="Verdana" w:cs="Arial"/>
          <w:bCs/>
          <w:sz w:val="20"/>
          <w:szCs w:val="20"/>
        </w:rPr>
      </w:pPr>
      <w:r w:rsidRPr="00C27493">
        <w:rPr>
          <w:rFonts w:ascii="Verdana" w:eastAsia="Arial" w:hAnsi="Verdana" w:cs="Arial"/>
          <w:bCs/>
          <w:sz w:val="20"/>
          <w:szCs w:val="20"/>
        </w:rPr>
        <w:t>Las pruebas de estrés del RTILB deben incluir objetivos claramente definidos, escenarios adaptados a los negocios y riesgos de la entidad, con supuestos bien documentados y metodologías de estimación sólidas.</w:t>
      </w:r>
    </w:p>
    <w:p w14:paraId="6A8B1A2A" w14:textId="77777777" w:rsidR="006164D3" w:rsidRPr="006164D3" w:rsidRDefault="006164D3" w:rsidP="006164D3">
      <w:pPr>
        <w:spacing w:after="0" w:line="240" w:lineRule="exact"/>
        <w:jc w:val="both"/>
        <w:rPr>
          <w:rFonts w:ascii="Verdana" w:eastAsia="Arial" w:hAnsi="Verdana" w:cs="Arial"/>
          <w:bCs/>
          <w:sz w:val="20"/>
          <w:szCs w:val="20"/>
        </w:rPr>
      </w:pPr>
    </w:p>
    <w:p w14:paraId="64623AFC" w14:textId="517F546A" w:rsidR="00076491" w:rsidRPr="001C6CAB" w:rsidRDefault="00076491" w:rsidP="00076491">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5A7556">
        <w:rPr>
          <w:rFonts w:ascii="Verdana" w:hAnsi="Verdana"/>
          <w:sz w:val="20"/>
          <w:szCs w:val="20"/>
        </w:rPr>
        <w:t>40</w:t>
      </w:r>
      <w:r w:rsidRPr="001C6CAB">
        <w:rPr>
          <w:rFonts w:ascii="Verdana" w:hAnsi="Verdana"/>
          <w:sz w:val="20"/>
          <w:szCs w:val="20"/>
        </w:rPr>
        <w:t>.</w:t>
      </w:r>
    </w:p>
    <w:p w14:paraId="75AAA63F" w14:textId="43DDB67C" w:rsidR="002B3025" w:rsidRPr="00076491" w:rsidRDefault="002B3025" w:rsidP="00076491">
      <w:pPr>
        <w:spacing w:after="0" w:line="240" w:lineRule="exact"/>
        <w:jc w:val="both"/>
        <w:rPr>
          <w:rFonts w:ascii="Verdana" w:eastAsia="Arial" w:hAnsi="Verdana" w:cs="Arial"/>
          <w:bCs/>
          <w:sz w:val="20"/>
          <w:szCs w:val="20"/>
        </w:rPr>
      </w:pPr>
      <w:r w:rsidRPr="00076491">
        <w:rPr>
          <w:rFonts w:ascii="Verdana" w:eastAsia="Arial" w:hAnsi="Verdana" w:cs="Arial"/>
          <w:bCs/>
          <w:sz w:val="20"/>
          <w:szCs w:val="20"/>
        </w:rPr>
        <w:t>En las pruebas de estrés la entidad debe establecer la interacción del RTILB con otros riesgos (riesgo de crédito, riesgo de liquidez, riesgo de mercado, etc.) y cualquier efecto secundario significativo debe ser computado.</w:t>
      </w:r>
    </w:p>
    <w:p w14:paraId="79E4EA86" w14:textId="77777777" w:rsidR="00C27493" w:rsidRPr="002B3025" w:rsidRDefault="00C27493" w:rsidP="00C27493">
      <w:pPr>
        <w:pStyle w:val="Prrafodelista"/>
        <w:spacing w:after="0" w:line="240" w:lineRule="exact"/>
        <w:ind w:left="284"/>
        <w:contextualSpacing w:val="0"/>
        <w:jc w:val="both"/>
        <w:rPr>
          <w:rFonts w:ascii="Verdana" w:eastAsia="Arial" w:hAnsi="Verdana" w:cs="Arial"/>
          <w:bCs/>
          <w:sz w:val="20"/>
          <w:szCs w:val="20"/>
        </w:rPr>
      </w:pPr>
    </w:p>
    <w:p w14:paraId="2CB83262" w14:textId="0D25A1CC" w:rsidR="00076491" w:rsidRPr="001C6CAB" w:rsidRDefault="00076491" w:rsidP="00076491">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6255CE">
        <w:rPr>
          <w:rFonts w:ascii="Verdana" w:hAnsi="Verdana"/>
          <w:sz w:val="20"/>
          <w:szCs w:val="20"/>
        </w:rPr>
        <w:t>41</w:t>
      </w:r>
      <w:r w:rsidRPr="001C6CAB">
        <w:rPr>
          <w:rFonts w:ascii="Verdana" w:hAnsi="Verdana"/>
          <w:sz w:val="20"/>
          <w:szCs w:val="20"/>
        </w:rPr>
        <w:t>.</w:t>
      </w:r>
    </w:p>
    <w:p w14:paraId="2EB8C0F7" w14:textId="707C229D" w:rsidR="002B3025" w:rsidRPr="00076491" w:rsidRDefault="002B3025" w:rsidP="12B437D6">
      <w:pPr>
        <w:spacing w:after="0" w:line="240" w:lineRule="exact"/>
        <w:jc w:val="both"/>
        <w:rPr>
          <w:rFonts w:ascii="Verdana" w:eastAsia="Arial" w:hAnsi="Verdana" w:cs="Arial"/>
          <w:sz w:val="20"/>
          <w:szCs w:val="20"/>
        </w:rPr>
      </w:pPr>
      <w:r w:rsidRPr="12B437D6">
        <w:rPr>
          <w:rFonts w:ascii="Verdana" w:eastAsia="Arial" w:hAnsi="Verdana" w:cs="Arial"/>
          <w:sz w:val="20"/>
          <w:szCs w:val="20"/>
        </w:rPr>
        <w:t>La entidad debe realizar pruebas de estrés inversas para: (i) identificar escenarios de tasas de interés que podrían amenazar gravemente el VEP, el MNI y la suficiencia de capital; y (ii) revelar vulnerabilidades derivadas de sus estrategias de cobertura del RTILB y las posibles reacciones de comportamiento de sus clientes.</w:t>
      </w:r>
    </w:p>
    <w:p w14:paraId="2B3B54F7" w14:textId="77777777" w:rsidR="00C27493" w:rsidRPr="00447482" w:rsidRDefault="00C27493" w:rsidP="00447482">
      <w:pPr>
        <w:spacing w:after="0" w:line="240" w:lineRule="exact"/>
        <w:jc w:val="both"/>
        <w:rPr>
          <w:rFonts w:ascii="Verdana" w:eastAsia="Arial" w:hAnsi="Verdana" w:cs="Arial"/>
          <w:bCs/>
          <w:sz w:val="20"/>
          <w:szCs w:val="20"/>
        </w:rPr>
      </w:pPr>
    </w:p>
    <w:p w14:paraId="70D559F4" w14:textId="0DFFF6EB" w:rsidR="00076491" w:rsidRPr="001C6CAB" w:rsidRDefault="00076491" w:rsidP="00076491">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6255CE">
        <w:rPr>
          <w:rFonts w:ascii="Verdana" w:hAnsi="Verdana"/>
          <w:sz w:val="20"/>
          <w:szCs w:val="20"/>
        </w:rPr>
        <w:t>42</w:t>
      </w:r>
      <w:r w:rsidRPr="001C6CAB">
        <w:rPr>
          <w:rFonts w:ascii="Verdana" w:hAnsi="Verdana"/>
          <w:sz w:val="20"/>
          <w:szCs w:val="20"/>
        </w:rPr>
        <w:t>.</w:t>
      </w:r>
    </w:p>
    <w:p w14:paraId="00CF83CC" w14:textId="1B4B36D9" w:rsidR="002B3025" w:rsidRPr="00076491" w:rsidRDefault="002B3025" w:rsidP="00076491">
      <w:pPr>
        <w:spacing w:after="0" w:line="240" w:lineRule="exact"/>
        <w:jc w:val="both"/>
        <w:rPr>
          <w:rFonts w:ascii="Verdana" w:eastAsia="Arial" w:hAnsi="Verdana" w:cs="Arial"/>
          <w:bCs/>
          <w:sz w:val="20"/>
          <w:szCs w:val="20"/>
        </w:rPr>
      </w:pPr>
      <w:r w:rsidRPr="00076491">
        <w:rPr>
          <w:rFonts w:ascii="Verdana" w:eastAsia="Arial" w:hAnsi="Verdana" w:cs="Arial"/>
          <w:bCs/>
          <w:sz w:val="20"/>
          <w:szCs w:val="20"/>
        </w:rPr>
        <w:t>A efectos de la evaluación del RTILB, al comprobar las vulnerabilidades en condiciones de estrés, las entidades utilizarán variaciones de las tasas de interés más altas y extremas que las utilizadas a efectos de la gestión continua, incluidos al menos los siguientes factores:</w:t>
      </w:r>
    </w:p>
    <w:p w14:paraId="33FFE833" w14:textId="77777777" w:rsidR="002B3025" w:rsidRPr="002B3025" w:rsidRDefault="002B3025" w:rsidP="00B929BB">
      <w:pPr>
        <w:pStyle w:val="Prrafodelista"/>
        <w:spacing w:line="240" w:lineRule="exact"/>
        <w:ind w:left="284"/>
        <w:jc w:val="both"/>
        <w:rPr>
          <w:rFonts w:ascii="Verdana" w:eastAsia="Arial" w:hAnsi="Verdana" w:cs="Arial"/>
          <w:bCs/>
          <w:sz w:val="20"/>
          <w:szCs w:val="20"/>
        </w:rPr>
      </w:pPr>
    </w:p>
    <w:p w14:paraId="7B7BC41E" w14:textId="77777777" w:rsidR="002B3025" w:rsidRPr="00DB22DA" w:rsidRDefault="002B3025" w:rsidP="00551D66">
      <w:pPr>
        <w:pStyle w:val="Prrafodelista"/>
        <w:numPr>
          <w:ilvl w:val="0"/>
          <w:numId w:val="37"/>
        </w:numPr>
        <w:spacing w:after="0" w:line="240" w:lineRule="exact"/>
        <w:ind w:left="567" w:hanging="567"/>
        <w:jc w:val="both"/>
        <w:rPr>
          <w:rFonts w:ascii="Verdana" w:eastAsia="Arial" w:hAnsi="Verdana" w:cs="Arial"/>
          <w:bCs/>
          <w:sz w:val="20"/>
          <w:szCs w:val="20"/>
        </w:rPr>
      </w:pPr>
      <w:r w:rsidRPr="00DB22DA">
        <w:rPr>
          <w:rFonts w:ascii="Verdana" w:eastAsia="Arial" w:hAnsi="Verdana" w:cs="Arial"/>
          <w:bCs/>
          <w:sz w:val="20"/>
          <w:szCs w:val="20"/>
        </w:rPr>
        <w:t>Cambios sustanciales en las relaciones entre las tasas clave del mercado (riesgo de base);</w:t>
      </w:r>
    </w:p>
    <w:p w14:paraId="6637CEA0" w14:textId="77777777" w:rsidR="00447482" w:rsidRDefault="00447482" w:rsidP="00447482">
      <w:pPr>
        <w:pStyle w:val="Prrafodelista"/>
        <w:spacing w:after="0" w:line="240" w:lineRule="exact"/>
        <w:ind w:left="567"/>
        <w:jc w:val="both"/>
        <w:rPr>
          <w:rFonts w:ascii="Verdana" w:eastAsia="Arial" w:hAnsi="Verdana" w:cs="Arial"/>
          <w:bCs/>
          <w:sz w:val="20"/>
          <w:szCs w:val="20"/>
        </w:rPr>
      </w:pPr>
    </w:p>
    <w:p w14:paraId="561FA533" w14:textId="3E0879DC" w:rsidR="002B3025" w:rsidRPr="00DB22DA" w:rsidRDefault="002B3025" w:rsidP="00551D66">
      <w:pPr>
        <w:pStyle w:val="Prrafodelista"/>
        <w:numPr>
          <w:ilvl w:val="0"/>
          <w:numId w:val="37"/>
        </w:numPr>
        <w:spacing w:after="0" w:line="240" w:lineRule="exact"/>
        <w:ind w:left="567" w:hanging="567"/>
        <w:jc w:val="both"/>
        <w:rPr>
          <w:rFonts w:ascii="Verdana" w:eastAsia="Arial" w:hAnsi="Verdana" w:cs="Arial"/>
          <w:bCs/>
          <w:sz w:val="20"/>
          <w:szCs w:val="20"/>
        </w:rPr>
      </w:pPr>
      <w:r w:rsidRPr="00DB22DA">
        <w:rPr>
          <w:rFonts w:ascii="Verdana" w:eastAsia="Arial" w:hAnsi="Verdana" w:cs="Arial"/>
          <w:bCs/>
          <w:sz w:val="20"/>
          <w:szCs w:val="20"/>
        </w:rPr>
        <w:t>Cambios repentinos y sustanciales en la curva de rendimientos tanto paralelos como no paralelos;</w:t>
      </w:r>
    </w:p>
    <w:p w14:paraId="1ABC0180" w14:textId="77777777" w:rsidR="00447482" w:rsidRDefault="00447482" w:rsidP="00447482">
      <w:pPr>
        <w:pStyle w:val="Prrafodelista"/>
        <w:spacing w:after="0" w:line="240" w:lineRule="exact"/>
        <w:ind w:left="567"/>
        <w:jc w:val="both"/>
        <w:rPr>
          <w:rFonts w:ascii="Verdana" w:eastAsia="Arial" w:hAnsi="Verdana" w:cs="Arial"/>
          <w:bCs/>
          <w:sz w:val="20"/>
          <w:szCs w:val="20"/>
        </w:rPr>
      </w:pPr>
    </w:p>
    <w:p w14:paraId="17118626" w14:textId="05FECAF0" w:rsidR="002B3025" w:rsidRPr="00DB22DA" w:rsidRDefault="002B3025" w:rsidP="00551D66">
      <w:pPr>
        <w:pStyle w:val="Prrafodelista"/>
        <w:numPr>
          <w:ilvl w:val="0"/>
          <w:numId w:val="37"/>
        </w:numPr>
        <w:spacing w:after="0" w:line="240" w:lineRule="exact"/>
        <w:ind w:left="567" w:hanging="567"/>
        <w:jc w:val="both"/>
        <w:rPr>
          <w:rFonts w:ascii="Verdana" w:eastAsia="Arial" w:hAnsi="Verdana" w:cs="Arial"/>
          <w:bCs/>
          <w:sz w:val="20"/>
          <w:szCs w:val="20"/>
        </w:rPr>
      </w:pPr>
      <w:r w:rsidRPr="00DB22DA">
        <w:rPr>
          <w:rFonts w:ascii="Verdana" w:eastAsia="Arial" w:hAnsi="Verdana" w:cs="Arial"/>
          <w:bCs/>
          <w:sz w:val="20"/>
          <w:szCs w:val="20"/>
        </w:rPr>
        <w:t>Desgloses de supuestos clave sobre el comportamiento de las diferentes clases de activos y pasivos;</w:t>
      </w:r>
    </w:p>
    <w:p w14:paraId="3EAE5EA4" w14:textId="77777777" w:rsidR="00447482" w:rsidRDefault="00447482" w:rsidP="00447482">
      <w:pPr>
        <w:pStyle w:val="Prrafodelista"/>
        <w:spacing w:after="0" w:line="240" w:lineRule="exact"/>
        <w:ind w:left="567"/>
        <w:jc w:val="both"/>
        <w:rPr>
          <w:rFonts w:ascii="Verdana" w:eastAsia="Arial" w:hAnsi="Verdana" w:cs="Arial"/>
          <w:bCs/>
          <w:sz w:val="20"/>
          <w:szCs w:val="20"/>
        </w:rPr>
      </w:pPr>
    </w:p>
    <w:p w14:paraId="16541382" w14:textId="39925AB3" w:rsidR="002B3025" w:rsidRPr="00DB22DA" w:rsidRDefault="002B3025" w:rsidP="00551D66">
      <w:pPr>
        <w:pStyle w:val="Prrafodelista"/>
        <w:numPr>
          <w:ilvl w:val="0"/>
          <w:numId w:val="37"/>
        </w:numPr>
        <w:spacing w:after="0" w:line="240" w:lineRule="exact"/>
        <w:ind w:left="567" w:hanging="567"/>
        <w:jc w:val="both"/>
        <w:rPr>
          <w:rFonts w:ascii="Verdana" w:eastAsia="Arial" w:hAnsi="Verdana" w:cs="Arial"/>
          <w:bCs/>
          <w:sz w:val="20"/>
          <w:szCs w:val="20"/>
        </w:rPr>
      </w:pPr>
      <w:r w:rsidRPr="00DB22DA">
        <w:rPr>
          <w:rFonts w:ascii="Verdana" w:eastAsia="Arial" w:hAnsi="Verdana" w:cs="Arial"/>
          <w:bCs/>
          <w:sz w:val="20"/>
          <w:szCs w:val="20"/>
        </w:rPr>
        <w:t>Cambios en los supuestos clave de correlación de tasas de interés;</w:t>
      </w:r>
    </w:p>
    <w:p w14:paraId="1B95B182" w14:textId="77777777" w:rsidR="00447482" w:rsidRDefault="00447482" w:rsidP="00447482">
      <w:pPr>
        <w:pStyle w:val="Prrafodelista"/>
        <w:spacing w:after="0" w:line="240" w:lineRule="exact"/>
        <w:ind w:left="567"/>
        <w:jc w:val="both"/>
        <w:rPr>
          <w:rFonts w:ascii="Verdana" w:eastAsia="Arial" w:hAnsi="Verdana" w:cs="Arial"/>
          <w:bCs/>
          <w:sz w:val="20"/>
          <w:szCs w:val="20"/>
        </w:rPr>
      </w:pPr>
    </w:p>
    <w:p w14:paraId="327D2271" w14:textId="42719CB5" w:rsidR="002B3025" w:rsidRPr="00DB22DA" w:rsidRDefault="002B3025" w:rsidP="00551D66">
      <w:pPr>
        <w:pStyle w:val="Prrafodelista"/>
        <w:numPr>
          <w:ilvl w:val="0"/>
          <w:numId w:val="37"/>
        </w:numPr>
        <w:spacing w:after="0" w:line="240" w:lineRule="exact"/>
        <w:ind w:left="567" w:hanging="567"/>
        <w:jc w:val="both"/>
        <w:rPr>
          <w:rFonts w:ascii="Verdana" w:eastAsia="Arial" w:hAnsi="Verdana" w:cs="Arial"/>
          <w:bCs/>
          <w:sz w:val="20"/>
          <w:szCs w:val="20"/>
        </w:rPr>
      </w:pPr>
      <w:r w:rsidRPr="00DB22DA">
        <w:rPr>
          <w:rFonts w:ascii="Verdana" w:eastAsia="Arial" w:hAnsi="Verdana" w:cs="Arial"/>
          <w:bCs/>
          <w:sz w:val="20"/>
          <w:szCs w:val="20"/>
        </w:rPr>
        <w:t>Cambios significativos en las condiciones macro y de mercado actuales y en el entorno competitivo y económico, y el posible desarrollo de estas variables; y</w:t>
      </w:r>
    </w:p>
    <w:p w14:paraId="7BB88DD4" w14:textId="77777777" w:rsidR="00447482" w:rsidRDefault="00447482" w:rsidP="00447482">
      <w:pPr>
        <w:pStyle w:val="Prrafodelista"/>
        <w:spacing w:after="0" w:line="240" w:lineRule="exact"/>
        <w:ind w:left="567"/>
        <w:jc w:val="both"/>
        <w:rPr>
          <w:rFonts w:ascii="Verdana" w:eastAsia="Arial" w:hAnsi="Verdana" w:cs="Arial"/>
          <w:bCs/>
          <w:sz w:val="20"/>
          <w:szCs w:val="20"/>
        </w:rPr>
      </w:pPr>
    </w:p>
    <w:p w14:paraId="059F1615" w14:textId="58C79554" w:rsidR="002B3025" w:rsidRPr="00DB22DA" w:rsidRDefault="002B3025" w:rsidP="00551D66">
      <w:pPr>
        <w:pStyle w:val="Prrafodelista"/>
        <w:numPr>
          <w:ilvl w:val="0"/>
          <w:numId w:val="37"/>
        </w:numPr>
        <w:spacing w:after="0" w:line="240" w:lineRule="exact"/>
        <w:ind w:left="567" w:hanging="567"/>
        <w:jc w:val="both"/>
        <w:rPr>
          <w:rFonts w:ascii="Verdana" w:eastAsia="Arial" w:hAnsi="Verdana" w:cs="Arial"/>
          <w:bCs/>
          <w:sz w:val="20"/>
          <w:szCs w:val="20"/>
        </w:rPr>
      </w:pPr>
      <w:r w:rsidRPr="00DB22DA">
        <w:rPr>
          <w:rFonts w:ascii="Verdana" w:eastAsia="Arial" w:hAnsi="Verdana" w:cs="Arial"/>
          <w:bCs/>
          <w:sz w:val="20"/>
          <w:szCs w:val="20"/>
        </w:rPr>
        <w:t>Escenarios específicos que se relacionen con el modelo de negocio individual y el perfil de riesgo de la entidad.</w:t>
      </w:r>
    </w:p>
    <w:p w14:paraId="5532476F" w14:textId="77777777" w:rsidR="00DB22DA" w:rsidRDefault="00DB22DA" w:rsidP="00DB22DA">
      <w:pPr>
        <w:spacing w:after="0" w:line="240" w:lineRule="exact"/>
        <w:jc w:val="both"/>
        <w:rPr>
          <w:rFonts w:ascii="Verdana" w:eastAsia="Arial" w:hAnsi="Verdana" w:cs="Arial"/>
          <w:bCs/>
          <w:sz w:val="20"/>
          <w:szCs w:val="20"/>
        </w:rPr>
      </w:pPr>
    </w:p>
    <w:p w14:paraId="73A460DA" w14:textId="2B0ECB7E" w:rsidR="00DB22DA" w:rsidRPr="001C6CAB" w:rsidRDefault="00DB22DA" w:rsidP="00DB22DA">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6255CE">
        <w:rPr>
          <w:rFonts w:ascii="Verdana" w:hAnsi="Verdana"/>
          <w:sz w:val="20"/>
          <w:szCs w:val="20"/>
        </w:rPr>
        <w:t>43</w:t>
      </w:r>
      <w:r w:rsidRPr="001C6CAB">
        <w:rPr>
          <w:rFonts w:ascii="Verdana" w:hAnsi="Verdana"/>
          <w:sz w:val="20"/>
          <w:szCs w:val="20"/>
        </w:rPr>
        <w:t>.</w:t>
      </w:r>
    </w:p>
    <w:p w14:paraId="4C4FA679" w14:textId="45211226" w:rsidR="00BC32EB" w:rsidRPr="00BC32EB" w:rsidRDefault="00BC32EB" w:rsidP="00BC32EB">
      <w:pPr>
        <w:spacing w:after="0" w:line="240" w:lineRule="exact"/>
        <w:jc w:val="both"/>
        <w:rPr>
          <w:rFonts w:ascii="Verdana" w:eastAsia="Arial" w:hAnsi="Verdana" w:cs="Arial"/>
          <w:bCs/>
          <w:sz w:val="20"/>
          <w:szCs w:val="20"/>
        </w:rPr>
      </w:pPr>
      <w:r w:rsidRPr="00BC32EB">
        <w:rPr>
          <w:rFonts w:ascii="Verdana" w:eastAsia="Arial" w:hAnsi="Verdana" w:cs="Arial"/>
          <w:bCs/>
          <w:sz w:val="20"/>
          <w:szCs w:val="20"/>
        </w:rPr>
        <w:t>Los resultados de las pruebas de estrés deben contribuir a la toma de decisiones en el nivel de gestión apropiado, esto incluye decisiones estratégicas y de negocio, la asignación de recursos internos de capital y decisiones de gestión de riesgos por parte de los órganos de la estructura de gobierno. Estos resultados también deben tenerse en cuenta al establecer y revisar las políticas y los límites del RTILB.</w:t>
      </w:r>
    </w:p>
    <w:p w14:paraId="3A23B21A" w14:textId="77777777" w:rsidR="00BC32EB" w:rsidRDefault="00BC32EB" w:rsidP="00BC32EB">
      <w:pPr>
        <w:spacing w:after="0"/>
        <w:rPr>
          <w:rFonts w:ascii="Verdana" w:hAnsi="Verdana"/>
          <w:sz w:val="20"/>
          <w:szCs w:val="20"/>
        </w:rPr>
      </w:pPr>
    </w:p>
    <w:p w14:paraId="23CA826F" w14:textId="437A0A6B" w:rsidR="00BC32EB" w:rsidRPr="001C6CAB" w:rsidRDefault="00BC32EB" w:rsidP="00BC32EB">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6255CE">
        <w:rPr>
          <w:rFonts w:ascii="Verdana" w:hAnsi="Verdana"/>
          <w:sz w:val="20"/>
          <w:szCs w:val="20"/>
        </w:rPr>
        <w:t>44</w:t>
      </w:r>
      <w:r w:rsidRPr="001C6CAB">
        <w:rPr>
          <w:rFonts w:ascii="Verdana" w:hAnsi="Verdana"/>
          <w:sz w:val="20"/>
          <w:szCs w:val="20"/>
        </w:rPr>
        <w:t>.</w:t>
      </w:r>
    </w:p>
    <w:p w14:paraId="26B25B7B" w14:textId="0D51488C" w:rsidR="00BC32EB" w:rsidRPr="00BC32EB" w:rsidRDefault="00BC32EB" w:rsidP="00BC32EB">
      <w:pPr>
        <w:spacing w:after="0" w:line="240" w:lineRule="exact"/>
        <w:jc w:val="both"/>
        <w:rPr>
          <w:rFonts w:ascii="Verdana" w:eastAsia="Arial" w:hAnsi="Verdana" w:cs="Arial"/>
          <w:bCs/>
          <w:sz w:val="20"/>
          <w:szCs w:val="20"/>
        </w:rPr>
      </w:pPr>
      <w:r w:rsidRPr="00BC32EB">
        <w:rPr>
          <w:rFonts w:ascii="Verdana" w:eastAsia="Arial" w:hAnsi="Verdana" w:cs="Arial"/>
          <w:bCs/>
          <w:sz w:val="20"/>
          <w:szCs w:val="20"/>
        </w:rPr>
        <w:t>En los casos en que las exposiciones del balance tengan restricciones significativas de revisión de precios, por ejemplo: límites máximos y mínimos de los activos y de los pasivos, la entidad debe considerar prudentemente si es material el efecto que tendría su renovación al ser reemplazados por otros con características comparables, independientemente del supuesto de cancelación. Esto debe llevarse a cabo para un horizonte prudente y considerando el modelo de negocio de la entidad.</w:t>
      </w:r>
    </w:p>
    <w:p w14:paraId="0D96D4E9" w14:textId="77777777" w:rsidR="00DB22DA" w:rsidRPr="00DB22DA" w:rsidRDefault="00DB22DA" w:rsidP="00DB22DA">
      <w:pPr>
        <w:spacing w:after="0" w:line="240" w:lineRule="exact"/>
        <w:jc w:val="both"/>
        <w:rPr>
          <w:rFonts w:ascii="Verdana" w:eastAsia="Arial" w:hAnsi="Verdana" w:cs="Arial"/>
          <w:bCs/>
          <w:sz w:val="20"/>
          <w:szCs w:val="20"/>
        </w:rPr>
      </w:pPr>
    </w:p>
    <w:p w14:paraId="76565760" w14:textId="31B66A29" w:rsidR="00DB22DA" w:rsidRPr="001C6CAB" w:rsidRDefault="00DB22DA" w:rsidP="00DB22DA">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3F5401">
        <w:rPr>
          <w:rFonts w:ascii="Verdana" w:hAnsi="Verdana"/>
          <w:sz w:val="20"/>
          <w:szCs w:val="20"/>
        </w:rPr>
        <w:t>45</w:t>
      </w:r>
      <w:r w:rsidRPr="001C6CAB">
        <w:rPr>
          <w:rFonts w:ascii="Verdana" w:hAnsi="Verdana"/>
          <w:sz w:val="20"/>
          <w:szCs w:val="20"/>
        </w:rPr>
        <w:t>.</w:t>
      </w:r>
    </w:p>
    <w:p w14:paraId="7F59AABD" w14:textId="2D047177" w:rsidR="002B3025" w:rsidRDefault="002B3025" w:rsidP="008416B1">
      <w:pPr>
        <w:spacing w:after="0" w:line="240" w:lineRule="exact"/>
        <w:jc w:val="both"/>
        <w:rPr>
          <w:rFonts w:ascii="Verdana" w:eastAsia="Arial" w:hAnsi="Verdana" w:cs="Arial"/>
          <w:sz w:val="20"/>
          <w:szCs w:val="20"/>
        </w:rPr>
      </w:pPr>
      <w:r w:rsidRPr="12B437D6">
        <w:rPr>
          <w:rFonts w:ascii="Verdana" w:eastAsia="Arial" w:hAnsi="Verdana" w:cs="Arial"/>
          <w:sz w:val="20"/>
          <w:szCs w:val="20"/>
        </w:rPr>
        <w:t xml:space="preserve">La entidad debe incorporar los cambios en la composición de todas las posiciones de balance y fuera de balance debido a: </w:t>
      </w:r>
      <w:r w:rsidR="00BC32EB">
        <w:rPr>
          <w:rFonts w:ascii="Verdana" w:eastAsia="Arial" w:hAnsi="Verdana" w:cs="Arial"/>
          <w:sz w:val="20"/>
          <w:szCs w:val="20"/>
        </w:rPr>
        <w:t>(</w:t>
      </w:r>
      <w:r w:rsidRPr="12B437D6">
        <w:rPr>
          <w:rFonts w:ascii="Verdana" w:eastAsia="Arial" w:hAnsi="Verdana" w:cs="Arial"/>
          <w:sz w:val="20"/>
          <w:szCs w:val="20"/>
        </w:rPr>
        <w:t>i) factores bajo el control de la entidad, por ejemplo: en relación con los planes de adquisición y producción</w:t>
      </w:r>
      <w:r w:rsidR="004B4AD4">
        <w:rPr>
          <w:rFonts w:ascii="Verdana" w:eastAsia="Arial" w:hAnsi="Verdana" w:cs="Arial"/>
          <w:sz w:val="20"/>
          <w:szCs w:val="20"/>
        </w:rPr>
        <w:t>;</w:t>
      </w:r>
      <w:r w:rsidRPr="12B437D6">
        <w:rPr>
          <w:rFonts w:ascii="Verdana" w:eastAsia="Arial" w:hAnsi="Verdana" w:cs="Arial"/>
          <w:sz w:val="20"/>
          <w:szCs w:val="20"/>
        </w:rPr>
        <w:t xml:space="preserve"> </w:t>
      </w:r>
      <w:r w:rsidR="00BC32EB">
        <w:rPr>
          <w:rFonts w:ascii="Verdana" w:eastAsia="Arial" w:hAnsi="Verdana" w:cs="Arial"/>
          <w:sz w:val="20"/>
          <w:szCs w:val="20"/>
        </w:rPr>
        <w:t>(</w:t>
      </w:r>
      <w:r w:rsidRPr="12B437D6">
        <w:rPr>
          <w:rFonts w:ascii="Verdana" w:eastAsia="Arial" w:hAnsi="Verdana" w:cs="Arial"/>
          <w:sz w:val="20"/>
          <w:szCs w:val="20"/>
        </w:rPr>
        <w:t>ii) factores exógenos, por ejemplo: cambios en el entorno competitivo, legal o fiscal</w:t>
      </w:r>
      <w:r w:rsidR="004B4AD4">
        <w:rPr>
          <w:rFonts w:ascii="Verdana" w:eastAsia="Arial" w:hAnsi="Verdana" w:cs="Arial"/>
          <w:sz w:val="20"/>
          <w:szCs w:val="20"/>
        </w:rPr>
        <w:t>;</w:t>
      </w:r>
      <w:r w:rsidRPr="12B437D6">
        <w:rPr>
          <w:rFonts w:ascii="Verdana" w:eastAsia="Arial" w:hAnsi="Verdana" w:cs="Arial"/>
          <w:sz w:val="20"/>
          <w:szCs w:val="20"/>
        </w:rPr>
        <w:t xml:space="preserve"> </w:t>
      </w:r>
      <w:r w:rsidR="00BC32EB">
        <w:rPr>
          <w:rFonts w:ascii="Verdana" w:eastAsia="Arial" w:hAnsi="Verdana" w:cs="Arial"/>
          <w:sz w:val="20"/>
          <w:szCs w:val="20"/>
        </w:rPr>
        <w:t>(</w:t>
      </w:r>
      <w:r w:rsidRPr="12B437D6">
        <w:rPr>
          <w:rFonts w:ascii="Verdana" w:eastAsia="Arial" w:hAnsi="Verdana" w:cs="Arial"/>
          <w:sz w:val="20"/>
          <w:szCs w:val="20"/>
        </w:rPr>
        <w:t>iii) nuevos productos en los que se dispone de series históricas limitadas</w:t>
      </w:r>
      <w:r w:rsidR="004B4AD4">
        <w:rPr>
          <w:rFonts w:ascii="Verdana" w:eastAsia="Arial" w:hAnsi="Verdana" w:cs="Arial"/>
          <w:sz w:val="20"/>
          <w:szCs w:val="20"/>
        </w:rPr>
        <w:t>;</w:t>
      </w:r>
      <w:r w:rsidRPr="12B437D6">
        <w:rPr>
          <w:rFonts w:ascii="Verdana" w:eastAsia="Arial" w:hAnsi="Verdana" w:cs="Arial"/>
          <w:sz w:val="20"/>
          <w:szCs w:val="20"/>
        </w:rPr>
        <w:t xml:space="preserve"> </w:t>
      </w:r>
      <w:r w:rsidR="00BC32EB">
        <w:rPr>
          <w:rFonts w:ascii="Verdana" w:eastAsia="Arial" w:hAnsi="Verdana" w:cs="Arial"/>
          <w:sz w:val="20"/>
          <w:szCs w:val="20"/>
        </w:rPr>
        <w:t>(</w:t>
      </w:r>
      <w:r w:rsidRPr="12B437D6">
        <w:rPr>
          <w:rFonts w:ascii="Verdana" w:eastAsia="Arial" w:hAnsi="Verdana" w:cs="Arial"/>
          <w:sz w:val="20"/>
          <w:szCs w:val="20"/>
        </w:rPr>
        <w:t>iv) nueva información de mercado</w:t>
      </w:r>
      <w:r w:rsidR="004B4AD4">
        <w:rPr>
          <w:rFonts w:ascii="Verdana" w:eastAsia="Arial" w:hAnsi="Verdana" w:cs="Arial"/>
          <w:sz w:val="20"/>
          <w:szCs w:val="20"/>
        </w:rPr>
        <w:t>;</w:t>
      </w:r>
      <w:r w:rsidRPr="12B437D6">
        <w:rPr>
          <w:rFonts w:ascii="Verdana" w:eastAsia="Arial" w:hAnsi="Verdana" w:cs="Arial"/>
          <w:sz w:val="20"/>
          <w:szCs w:val="20"/>
        </w:rPr>
        <w:t xml:space="preserve"> y </w:t>
      </w:r>
      <w:r w:rsidR="00D21CC2">
        <w:rPr>
          <w:rFonts w:ascii="Verdana" w:eastAsia="Arial" w:hAnsi="Verdana" w:cs="Arial"/>
          <w:sz w:val="20"/>
          <w:szCs w:val="20"/>
        </w:rPr>
        <w:t>(</w:t>
      </w:r>
      <w:r w:rsidRPr="12B437D6">
        <w:rPr>
          <w:rFonts w:ascii="Verdana" w:eastAsia="Arial" w:hAnsi="Verdana" w:cs="Arial"/>
          <w:sz w:val="20"/>
          <w:szCs w:val="20"/>
        </w:rPr>
        <w:t xml:space="preserve">v) nuevos riesgos emergentes que no necesariamente están cubiertos por episodios históricos de estrés, entre otros. </w:t>
      </w:r>
    </w:p>
    <w:p w14:paraId="582939C6" w14:textId="77777777" w:rsidR="008416B1" w:rsidRDefault="008416B1" w:rsidP="008416B1">
      <w:pPr>
        <w:spacing w:after="0" w:line="240" w:lineRule="exact"/>
        <w:jc w:val="both"/>
        <w:rPr>
          <w:rFonts w:ascii="Verdana" w:eastAsia="Arial" w:hAnsi="Verdana" w:cs="Arial"/>
          <w:sz w:val="20"/>
          <w:szCs w:val="20"/>
        </w:rPr>
      </w:pPr>
    </w:p>
    <w:p w14:paraId="0EF3643D" w14:textId="77777777" w:rsidR="009551C6" w:rsidRDefault="009551C6" w:rsidP="008416B1">
      <w:pPr>
        <w:spacing w:after="0" w:line="240" w:lineRule="exact"/>
        <w:jc w:val="both"/>
        <w:rPr>
          <w:rFonts w:ascii="Verdana" w:eastAsia="Arial" w:hAnsi="Verdana" w:cs="Arial"/>
          <w:sz w:val="20"/>
          <w:szCs w:val="20"/>
        </w:rPr>
      </w:pPr>
    </w:p>
    <w:p w14:paraId="3C9DBED9" w14:textId="77777777" w:rsidR="009551C6" w:rsidRPr="008416B1" w:rsidRDefault="009551C6" w:rsidP="008416B1">
      <w:pPr>
        <w:spacing w:after="0" w:line="240" w:lineRule="exact"/>
        <w:jc w:val="both"/>
        <w:rPr>
          <w:rFonts w:ascii="Verdana" w:eastAsia="Arial" w:hAnsi="Verdana" w:cs="Arial"/>
          <w:sz w:val="20"/>
          <w:szCs w:val="20"/>
        </w:rPr>
      </w:pPr>
    </w:p>
    <w:p w14:paraId="2DF80115" w14:textId="4F5B3758" w:rsidR="002B3025" w:rsidRPr="008416B1" w:rsidRDefault="002B3025" w:rsidP="00551D66">
      <w:pPr>
        <w:pStyle w:val="Prrafodelista"/>
        <w:numPr>
          <w:ilvl w:val="0"/>
          <w:numId w:val="40"/>
        </w:numPr>
        <w:spacing w:line="240" w:lineRule="exact"/>
        <w:ind w:left="567" w:hanging="283"/>
        <w:jc w:val="both"/>
        <w:rPr>
          <w:rFonts w:ascii="Verdana" w:eastAsia="Arial" w:hAnsi="Verdana" w:cs="Arial"/>
          <w:b/>
          <w:sz w:val="20"/>
          <w:szCs w:val="20"/>
        </w:rPr>
      </w:pPr>
      <w:r w:rsidRPr="008416B1">
        <w:rPr>
          <w:rFonts w:ascii="Verdana" w:eastAsia="Arial" w:hAnsi="Verdana" w:cs="Arial"/>
          <w:b/>
          <w:sz w:val="20"/>
          <w:szCs w:val="20"/>
        </w:rPr>
        <w:lastRenderedPageBreak/>
        <w:t>Supuestos de medición</w:t>
      </w:r>
    </w:p>
    <w:p w14:paraId="7966FFEF" w14:textId="7AFB579F" w:rsidR="003D4270" w:rsidRPr="001C6CAB" w:rsidRDefault="003D4270" w:rsidP="003D4270">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3F5401">
        <w:rPr>
          <w:rFonts w:ascii="Verdana" w:hAnsi="Verdana"/>
          <w:sz w:val="20"/>
          <w:szCs w:val="20"/>
        </w:rPr>
        <w:t>46</w:t>
      </w:r>
      <w:r w:rsidRPr="001C6CAB">
        <w:rPr>
          <w:rFonts w:ascii="Verdana" w:hAnsi="Verdana"/>
          <w:sz w:val="20"/>
          <w:szCs w:val="20"/>
        </w:rPr>
        <w:t>.</w:t>
      </w:r>
    </w:p>
    <w:p w14:paraId="3E4CC421" w14:textId="77777777" w:rsidR="002B3025" w:rsidRPr="002B3025" w:rsidRDefault="002B3025" w:rsidP="00B929BB">
      <w:pPr>
        <w:tabs>
          <w:tab w:val="left" w:pos="0"/>
          <w:tab w:val="left" w:pos="284"/>
        </w:tabs>
        <w:jc w:val="both"/>
        <w:rPr>
          <w:rFonts w:ascii="Verdana" w:hAnsi="Verdana" w:cs="Arial"/>
          <w:bCs/>
          <w:sz w:val="20"/>
          <w:szCs w:val="20"/>
        </w:rPr>
      </w:pPr>
      <w:r w:rsidRPr="002B3025">
        <w:rPr>
          <w:rFonts w:ascii="Verdana" w:hAnsi="Verdana" w:cs="Arial"/>
          <w:bCs/>
          <w:sz w:val="20"/>
          <w:szCs w:val="20"/>
        </w:rPr>
        <w:t>La entidad podrá utilizar simulaciones “simples o dinámicas” para cuantificar sus exposiciones al RTILB tanto en el VEP como en el MNI dependiendo de la composición de los productos que gestiona. Dichas metodologías podrán contemplar cálculos simples, cuando la entidad administre productos simples y no esté expuesta a riesgo de opcionalidad y/o técnicas cuantitativas de modelación dinámicas más sofisticadas para entidades con actividad internacional y/o productos múltiples.</w:t>
      </w:r>
    </w:p>
    <w:p w14:paraId="1FF6524A" w14:textId="77777777" w:rsidR="008416B1" w:rsidRDefault="002B3025" w:rsidP="00551D66">
      <w:pPr>
        <w:pStyle w:val="Prrafodelista"/>
        <w:numPr>
          <w:ilvl w:val="0"/>
          <w:numId w:val="46"/>
        </w:numPr>
        <w:spacing w:after="0" w:line="240" w:lineRule="exact"/>
        <w:ind w:left="567" w:hanging="567"/>
        <w:jc w:val="both"/>
        <w:rPr>
          <w:rFonts w:ascii="Verdana" w:eastAsia="Arial" w:hAnsi="Verdana" w:cs="Arial"/>
          <w:bCs/>
          <w:sz w:val="20"/>
          <w:szCs w:val="20"/>
        </w:rPr>
      </w:pPr>
      <w:r w:rsidRPr="008416B1">
        <w:rPr>
          <w:rFonts w:ascii="Verdana" w:eastAsia="Arial" w:hAnsi="Verdana" w:cs="Arial"/>
          <w:bCs/>
          <w:sz w:val="20"/>
          <w:szCs w:val="20"/>
        </w:rPr>
        <w:t xml:space="preserve">Al medir el RTILB la entidad deberá comprender plenamente y documentar las principales hipótesis de comportamiento y del proceso de modelado. Estos supuestos deben alinearse con las estrategias comerciales y probarse periódicamente. </w:t>
      </w:r>
    </w:p>
    <w:p w14:paraId="1C2139CB" w14:textId="77777777" w:rsidR="008416B1" w:rsidRDefault="008416B1" w:rsidP="008416B1">
      <w:pPr>
        <w:pStyle w:val="Prrafodelista"/>
        <w:spacing w:after="0" w:line="240" w:lineRule="exact"/>
        <w:ind w:left="567"/>
        <w:jc w:val="both"/>
        <w:rPr>
          <w:rFonts w:ascii="Verdana" w:eastAsia="Arial" w:hAnsi="Verdana" w:cs="Arial"/>
          <w:bCs/>
          <w:sz w:val="20"/>
          <w:szCs w:val="20"/>
        </w:rPr>
      </w:pPr>
    </w:p>
    <w:p w14:paraId="6A1B8771" w14:textId="77777777" w:rsidR="008416B1" w:rsidRDefault="002B3025" w:rsidP="00551D66">
      <w:pPr>
        <w:pStyle w:val="Prrafodelista"/>
        <w:numPr>
          <w:ilvl w:val="0"/>
          <w:numId w:val="46"/>
        </w:numPr>
        <w:spacing w:after="0" w:line="240" w:lineRule="exact"/>
        <w:ind w:left="567" w:hanging="567"/>
        <w:jc w:val="both"/>
        <w:rPr>
          <w:rFonts w:ascii="Verdana" w:eastAsia="Arial" w:hAnsi="Verdana" w:cs="Arial"/>
          <w:bCs/>
          <w:sz w:val="20"/>
          <w:szCs w:val="20"/>
        </w:rPr>
      </w:pPr>
      <w:r w:rsidRPr="008416B1">
        <w:rPr>
          <w:rFonts w:ascii="Verdana" w:eastAsia="Arial" w:hAnsi="Verdana" w:cs="Arial"/>
          <w:bCs/>
          <w:sz w:val="20"/>
          <w:szCs w:val="20"/>
        </w:rPr>
        <w:t>La entidad debe aplicar supuestos prudentes al evaluar el riesgo de los productos sensibles a las tasas de interés que estén vinculados a la inflación u otros factores del mercado. Estos supuestos pueden basarse, por ejemplo: en la información histórica y en pronósticos de una entidad independiente, de un instituto de investigación económica de renombre, o en otras prácticas de mercado generalmente aceptadas.</w:t>
      </w:r>
    </w:p>
    <w:p w14:paraId="3D27E4F9" w14:textId="77777777" w:rsidR="008416B1" w:rsidRPr="008416B1" w:rsidRDefault="008416B1" w:rsidP="008416B1">
      <w:pPr>
        <w:pStyle w:val="Prrafodelista"/>
        <w:rPr>
          <w:rFonts w:ascii="Verdana" w:eastAsia="Arial" w:hAnsi="Verdana" w:cs="Arial"/>
          <w:bCs/>
          <w:sz w:val="20"/>
          <w:szCs w:val="20"/>
        </w:rPr>
      </w:pPr>
    </w:p>
    <w:p w14:paraId="61072817" w14:textId="0E4CEF9E" w:rsidR="008416B1" w:rsidRDefault="002B3025" w:rsidP="00551D66">
      <w:pPr>
        <w:pStyle w:val="Prrafodelista"/>
        <w:numPr>
          <w:ilvl w:val="0"/>
          <w:numId w:val="46"/>
        </w:numPr>
        <w:spacing w:after="0" w:line="240" w:lineRule="exact"/>
        <w:ind w:left="567" w:hanging="567"/>
        <w:jc w:val="both"/>
        <w:rPr>
          <w:rFonts w:ascii="Verdana" w:eastAsia="Arial" w:hAnsi="Verdana" w:cs="Arial"/>
          <w:bCs/>
          <w:sz w:val="20"/>
          <w:szCs w:val="20"/>
        </w:rPr>
      </w:pPr>
      <w:r w:rsidRPr="008416B1">
        <w:rPr>
          <w:rFonts w:ascii="Verdana" w:eastAsia="Arial" w:hAnsi="Verdana" w:cs="Arial"/>
          <w:bCs/>
          <w:sz w:val="20"/>
          <w:szCs w:val="20"/>
        </w:rPr>
        <w:t>En relación con las medidas del RTILB basadas tanto en el VEP como en el MNI, la entidad debe tener en cuenta las hipótesis realizadas a efectos de la cuantificación</w:t>
      </w:r>
      <w:r w:rsidR="00C85416">
        <w:rPr>
          <w:rFonts w:ascii="Verdana" w:eastAsia="Arial" w:hAnsi="Verdana" w:cs="Arial"/>
          <w:bCs/>
          <w:sz w:val="20"/>
          <w:szCs w:val="20"/>
        </w:rPr>
        <w:t xml:space="preserve"> </w:t>
      </w:r>
      <w:r w:rsidR="00C85416" w:rsidRPr="00C85416">
        <w:rPr>
          <w:rFonts w:ascii="Verdana" w:eastAsia="Arial" w:hAnsi="Verdana" w:cs="Arial"/>
          <w:bCs/>
          <w:sz w:val="20"/>
          <w:szCs w:val="20"/>
        </w:rPr>
        <w:t>del riesgo en relación, por lo menos, con lo siguiente:</w:t>
      </w:r>
    </w:p>
    <w:p w14:paraId="6A99D3E5" w14:textId="77777777" w:rsidR="008416B1" w:rsidRPr="008416B1" w:rsidRDefault="008416B1" w:rsidP="008416B1">
      <w:pPr>
        <w:pStyle w:val="Prrafodelista"/>
        <w:rPr>
          <w:rFonts w:ascii="Verdana" w:eastAsia="Arial" w:hAnsi="Verdana" w:cs="Arial"/>
          <w:bCs/>
          <w:sz w:val="20"/>
          <w:szCs w:val="20"/>
        </w:rPr>
      </w:pPr>
    </w:p>
    <w:p w14:paraId="5CCD779A" w14:textId="14669E21" w:rsidR="008416B1" w:rsidRDefault="002B3025" w:rsidP="00551D66">
      <w:pPr>
        <w:pStyle w:val="Prrafodelista"/>
        <w:numPr>
          <w:ilvl w:val="0"/>
          <w:numId w:val="47"/>
        </w:numPr>
        <w:spacing w:after="0" w:line="240" w:lineRule="exact"/>
        <w:ind w:left="1134" w:hanging="567"/>
        <w:jc w:val="both"/>
        <w:rPr>
          <w:rFonts w:ascii="Verdana" w:eastAsia="Arial" w:hAnsi="Verdana" w:cs="Arial"/>
          <w:bCs/>
          <w:sz w:val="20"/>
          <w:szCs w:val="20"/>
        </w:rPr>
      </w:pPr>
      <w:r w:rsidRPr="002B3025">
        <w:rPr>
          <w:rFonts w:ascii="Verdana" w:eastAsia="Arial" w:hAnsi="Verdana" w:cs="Arial"/>
          <w:bCs/>
          <w:sz w:val="20"/>
          <w:szCs w:val="20"/>
        </w:rPr>
        <w:t>El ejercicio de las opciones sobre tasas de interés (automáticas o comportamentales) tanto por parte de la entidad como de su clientela en determinados escenarios de tensión y perturbación de tasas de interés</w:t>
      </w:r>
      <w:r w:rsidR="008416B1">
        <w:rPr>
          <w:rFonts w:ascii="Verdana" w:eastAsia="Arial" w:hAnsi="Verdana" w:cs="Arial"/>
          <w:bCs/>
          <w:sz w:val="20"/>
          <w:szCs w:val="20"/>
        </w:rPr>
        <w:t>.</w:t>
      </w:r>
      <w:r w:rsidRPr="002B3025">
        <w:rPr>
          <w:rFonts w:ascii="Verdana" w:eastAsia="Arial" w:hAnsi="Verdana" w:cs="Arial"/>
          <w:bCs/>
          <w:sz w:val="20"/>
          <w:szCs w:val="20"/>
        </w:rPr>
        <w:t xml:space="preserve"> </w:t>
      </w:r>
    </w:p>
    <w:p w14:paraId="24626F62" w14:textId="77777777" w:rsidR="008416B1" w:rsidRDefault="008416B1" w:rsidP="008416B1">
      <w:pPr>
        <w:pStyle w:val="Prrafodelista"/>
        <w:spacing w:after="0" w:line="240" w:lineRule="exact"/>
        <w:ind w:left="1134"/>
        <w:jc w:val="both"/>
        <w:rPr>
          <w:rFonts w:ascii="Verdana" w:eastAsia="Arial" w:hAnsi="Verdana" w:cs="Arial"/>
          <w:bCs/>
          <w:sz w:val="20"/>
          <w:szCs w:val="20"/>
        </w:rPr>
      </w:pPr>
    </w:p>
    <w:p w14:paraId="345CCCF2" w14:textId="60E779E6" w:rsidR="008416B1" w:rsidRDefault="002B3025" w:rsidP="00551D66">
      <w:pPr>
        <w:pStyle w:val="Prrafodelista"/>
        <w:numPr>
          <w:ilvl w:val="0"/>
          <w:numId w:val="47"/>
        </w:numPr>
        <w:spacing w:after="0" w:line="240" w:lineRule="exact"/>
        <w:ind w:left="1134" w:hanging="567"/>
        <w:jc w:val="both"/>
        <w:rPr>
          <w:rFonts w:ascii="Verdana" w:eastAsia="Arial" w:hAnsi="Verdana" w:cs="Arial"/>
          <w:bCs/>
          <w:sz w:val="20"/>
          <w:szCs w:val="20"/>
        </w:rPr>
      </w:pPr>
      <w:r w:rsidRPr="008416B1">
        <w:rPr>
          <w:rFonts w:ascii="Verdana" w:eastAsia="Arial" w:hAnsi="Verdana" w:cs="Arial"/>
          <w:bCs/>
          <w:sz w:val="20"/>
          <w:szCs w:val="20"/>
        </w:rPr>
        <w:t>El tratamiento de los saldos y flujos derivados de los NMD</w:t>
      </w:r>
      <w:r w:rsidR="008416B1">
        <w:rPr>
          <w:rFonts w:ascii="Verdana" w:eastAsia="Arial" w:hAnsi="Verdana" w:cs="Arial"/>
          <w:bCs/>
          <w:sz w:val="20"/>
          <w:szCs w:val="20"/>
        </w:rPr>
        <w:t>.</w:t>
      </w:r>
    </w:p>
    <w:p w14:paraId="672F2A2A" w14:textId="77777777" w:rsidR="008416B1" w:rsidRPr="008416B1" w:rsidRDefault="008416B1" w:rsidP="008416B1">
      <w:pPr>
        <w:pStyle w:val="Prrafodelista"/>
        <w:rPr>
          <w:rFonts w:ascii="Verdana" w:eastAsia="Arial" w:hAnsi="Verdana" w:cs="Arial"/>
          <w:bCs/>
          <w:sz w:val="20"/>
          <w:szCs w:val="20"/>
        </w:rPr>
      </w:pPr>
    </w:p>
    <w:p w14:paraId="1CA40FEC" w14:textId="77777777" w:rsidR="008416B1" w:rsidRDefault="002B3025" w:rsidP="00551D66">
      <w:pPr>
        <w:pStyle w:val="Prrafodelista"/>
        <w:numPr>
          <w:ilvl w:val="0"/>
          <w:numId w:val="47"/>
        </w:numPr>
        <w:spacing w:after="0" w:line="240" w:lineRule="exact"/>
        <w:ind w:left="1134" w:hanging="567"/>
        <w:jc w:val="both"/>
        <w:rPr>
          <w:rFonts w:ascii="Verdana" w:eastAsia="Arial" w:hAnsi="Verdana" w:cs="Arial"/>
          <w:bCs/>
          <w:sz w:val="20"/>
          <w:szCs w:val="20"/>
        </w:rPr>
      </w:pPr>
      <w:r w:rsidRPr="008416B1">
        <w:rPr>
          <w:rFonts w:ascii="Verdana" w:eastAsia="Arial" w:hAnsi="Verdana" w:cs="Arial"/>
          <w:bCs/>
          <w:sz w:val="20"/>
          <w:szCs w:val="20"/>
        </w:rPr>
        <w:t>El tratamiento de los depósitos a plazo fijo con riesgo de amortización anticipada</w:t>
      </w:r>
      <w:r w:rsidR="008416B1">
        <w:rPr>
          <w:rFonts w:ascii="Verdana" w:eastAsia="Arial" w:hAnsi="Verdana" w:cs="Arial"/>
          <w:bCs/>
          <w:sz w:val="20"/>
          <w:szCs w:val="20"/>
        </w:rPr>
        <w:t>.</w:t>
      </w:r>
    </w:p>
    <w:p w14:paraId="5D038ED9" w14:textId="77777777" w:rsidR="008416B1" w:rsidRPr="008416B1" w:rsidRDefault="008416B1" w:rsidP="008416B1">
      <w:pPr>
        <w:pStyle w:val="Prrafodelista"/>
        <w:rPr>
          <w:rFonts w:ascii="Verdana" w:eastAsia="Arial" w:hAnsi="Verdana" w:cs="Arial"/>
          <w:bCs/>
          <w:sz w:val="20"/>
          <w:szCs w:val="20"/>
        </w:rPr>
      </w:pPr>
    </w:p>
    <w:p w14:paraId="41DF4021" w14:textId="77777777" w:rsidR="008416B1" w:rsidRDefault="002B3025" w:rsidP="00551D66">
      <w:pPr>
        <w:pStyle w:val="Prrafodelista"/>
        <w:numPr>
          <w:ilvl w:val="0"/>
          <w:numId w:val="47"/>
        </w:numPr>
        <w:spacing w:after="0" w:line="240" w:lineRule="exact"/>
        <w:ind w:left="1134" w:hanging="567"/>
        <w:jc w:val="both"/>
        <w:rPr>
          <w:rFonts w:ascii="Verdana" w:eastAsia="Arial" w:hAnsi="Verdana" w:cs="Arial"/>
          <w:bCs/>
          <w:sz w:val="20"/>
          <w:szCs w:val="20"/>
        </w:rPr>
      </w:pPr>
      <w:r w:rsidRPr="008416B1">
        <w:rPr>
          <w:rFonts w:ascii="Verdana" w:eastAsia="Arial" w:hAnsi="Verdana" w:cs="Arial"/>
          <w:bCs/>
          <w:sz w:val="20"/>
          <w:szCs w:val="20"/>
        </w:rPr>
        <w:t>El tratamiento de los préstamos y compromisos a tasa fija</w:t>
      </w:r>
      <w:r w:rsidR="008416B1">
        <w:rPr>
          <w:rFonts w:ascii="Verdana" w:eastAsia="Arial" w:hAnsi="Verdana" w:cs="Arial"/>
          <w:bCs/>
          <w:sz w:val="20"/>
          <w:szCs w:val="20"/>
        </w:rPr>
        <w:t>.</w:t>
      </w:r>
    </w:p>
    <w:p w14:paraId="2CABF760" w14:textId="77777777" w:rsidR="008416B1" w:rsidRPr="008416B1" w:rsidRDefault="008416B1" w:rsidP="008416B1">
      <w:pPr>
        <w:pStyle w:val="Prrafodelista"/>
        <w:rPr>
          <w:rFonts w:ascii="Verdana" w:eastAsia="Arial" w:hAnsi="Verdana" w:cs="Arial"/>
          <w:bCs/>
          <w:sz w:val="20"/>
          <w:szCs w:val="20"/>
        </w:rPr>
      </w:pPr>
    </w:p>
    <w:p w14:paraId="24DE809A" w14:textId="77777777" w:rsidR="008416B1" w:rsidRDefault="002B3025" w:rsidP="00551D66">
      <w:pPr>
        <w:pStyle w:val="Prrafodelista"/>
        <w:numPr>
          <w:ilvl w:val="0"/>
          <w:numId w:val="47"/>
        </w:numPr>
        <w:spacing w:after="0" w:line="240" w:lineRule="exact"/>
        <w:ind w:left="1134" w:hanging="567"/>
        <w:jc w:val="both"/>
        <w:rPr>
          <w:rFonts w:ascii="Verdana" w:eastAsia="Arial" w:hAnsi="Verdana" w:cs="Arial"/>
          <w:bCs/>
          <w:sz w:val="20"/>
          <w:szCs w:val="20"/>
        </w:rPr>
      </w:pPr>
      <w:r w:rsidRPr="008416B1">
        <w:rPr>
          <w:rFonts w:ascii="Verdana" w:eastAsia="Arial" w:hAnsi="Verdana" w:cs="Arial"/>
          <w:bCs/>
          <w:sz w:val="20"/>
          <w:szCs w:val="20"/>
        </w:rPr>
        <w:t>Las implicaciones de las prácticas contables para la medición del RTILB y, en particular, la eficacia de la contabilidad de coberturas</w:t>
      </w:r>
      <w:r w:rsidR="008416B1">
        <w:rPr>
          <w:rFonts w:ascii="Verdana" w:eastAsia="Arial" w:hAnsi="Verdana" w:cs="Arial"/>
          <w:bCs/>
          <w:sz w:val="20"/>
          <w:szCs w:val="20"/>
        </w:rPr>
        <w:t>.</w:t>
      </w:r>
    </w:p>
    <w:p w14:paraId="06F84D1F" w14:textId="77777777" w:rsidR="008416B1" w:rsidRPr="008416B1" w:rsidRDefault="008416B1" w:rsidP="008416B1">
      <w:pPr>
        <w:pStyle w:val="Prrafodelista"/>
        <w:rPr>
          <w:rFonts w:ascii="Verdana" w:eastAsia="Arial" w:hAnsi="Verdana" w:cs="Arial"/>
          <w:bCs/>
          <w:sz w:val="20"/>
          <w:szCs w:val="20"/>
        </w:rPr>
      </w:pPr>
    </w:p>
    <w:p w14:paraId="6E9FEA0B" w14:textId="0219373A" w:rsidR="002B3025" w:rsidRPr="008416B1" w:rsidRDefault="002B3025" w:rsidP="00551D66">
      <w:pPr>
        <w:pStyle w:val="Prrafodelista"/>
        <w:numPr>
          <w:ilvl w:val="0"/>
          <w:numId w:val="47"/>
        </w:numPr>
        <w:spacing w:after="0" w:line="240" w:lineRule="exact"/>
        <w:ind w:left="1134" w:hanging="567"/>
        <w:jc w:val="both"/>
        <w:rPr>
          <w:rFonts w:ascii="Verdana" w:eastAsia="Arial" w:hAnsi="Verdana" w:cs="Arial"/>
          <w:bCs/>
          <w:sz w:val="20"/>
          <w:szCs w:val="20"/>
        </w:rPr>
      </w:pPr>
      <w:r w:rsidRPr="008416B1">
        <w:rPr>
          <w:rFonts w:ascii="Verdana" w:eastAsia="Arial" w:hAnsi="Verdana" w:cs="Arial"/>
          <w:bCs/>
          <w:sz w:val="20"/>
          <w:szCs w:val="20"/>
        </w:rPr>
        <w:t>La validación de los supuestos de diversificación utilizados</w:t>
      </w:r>
      <w:r w:rsidR="00652DDA">
        <w:rPr>
          <w:rFonts w:ascii="Verdana" w:eastAsia="Arial" w:hAnsi="Verdana" w:cs="Arial"/>
          <w:bCs/>
          <w:sz w:val="20"/>
          <w:szCs w:val="20"/>
        </w:rPr>
        <w:t>.</w:t>
      </w:r>
    </w:p>
    <w:p w14:paraId="3C5E565F" w14:textId="77777777" w:rsidR="008416B1" w:rsidRDefault="008416B1" w:rsidP="12B437D6">
      <w:pPr>
        <w:spacing w:after="0" w:line="240" w:lineRule="exact"/>
        <w:jc w:val="both"/>
        <w:rPr>
          <w:rFonts w:ascii="Verdana" w:eastAsia="Arial" w:hAnsi="Verdana" w:cs="Arial"/>
          <w:bCs/>
          <w:sz w:val="20"/>
          <w:szCs w:val="20"/>
        </w:rPr>
      </w:pPr>
    </w:p>
    <w:p w14:paraId="28EEEA9C" w14:textId="235CF2F1" w:rsidR="008416B1" w:rsidRDefault="002B3025" w:rsidP="00551D66">
      <w:pPr>
        <w:pStyle w:val="Prrafodelista"/>
        <w:numPr>
          <w:ilvl w:val="0"/>
          <w:numId w:val="46"/>
        </w:numPr>
        <w:spacing w:after="0" w:line="240" w:lineRule="exact"/>
        <w:ind w:left="567" w:hanging="567"/>
        <w:jc w:val="both"/>
        <w:rPr>
          <w:rFonts w:ascii="Verdana" w:eastAsia="Arial" w:hAnsi="Verdana" w:cs="Arial"/>
          <w:sz w:val="20"/>
          <w:szCs w:val="20"/>
        </w:rPr>
      </w:pPr>
      <w:r w:rsidRPr="008416B1">
        <w:rPr>
          <w:rFonts w:ascii="Verdana" w:eastAsia="Arial" w:hAnsi="Verdana" w:cs="Arial"/>
          <w:sz w:val="20"/>
          <w:szCs w:val="20"/>
        </w:rPr>
        <w:t>A medida que las condiciones del mercado, los entornos competitivos y las estrategias cambi</w:t>
      </w:r>
      <w:r w:rsidR="00381776">
        <w:rPr>
          <w:rFonts w:ascii="Verdana" w:eastAsia="Arial" w:hAnsi="Verdana" w:cs="Arial"/>
          <w:sz w:val="20"/>
          <w:szCs w:val="20"/>
        </w:rPr>
        <w:t>e</w:t>
      </w:r>
      <w:r w:rsidRPr="008416B1">
        <w:rPr>
          <w:rFonts w:ascii="Verdana" w:eastAsia="Arial" w:hAnsi="Verdana" w:cs="Arial"/>
          <w:sz w:val="20"/>
          <w:szCs w:val="20"/>
        </w:rPr>
        <w:t>n, la entidad debe revisar los supuestos significativos de medición del modelo interno. Lo anterior debe hacerse con mayor frecuencia durante cambios rápidos en las condiciones del mercado. En todo caso, la entidad deberá calibrar, por lo menos anualmente, el modelo interno utilizado y sus respectivas variables, realizando además pruebas de significancia de tales variables y de</w:t>
      </w:r>
      <w:r w:rsidRPr="00C67684">
        <w:rPr>
          <w:rFonts w:ascii="Verdana" w:eastAsia="Arial" w:hAnsi="Verdana" w:cs="Arial"/>
          <w:i/>
          <w:iCs/>
          <w:sz w:val="20"/>
          <w:szCs w:val="20"/>
        </w:rPr>
        <w:t xml:space="preserve"> backtesting </w:t>
      </w:r>
      <w:r w:rsidRPr="008416B1">
        <w:rPr>
          <w:rFonts w:ascii="Verdana" w:eastAsia="Arial" w:hAnsi="Verdana" w:cs="Arial"/>
          <w:sz w:val="20"/>
          <w:szCs w:val="20"/>
        </w:rPr>
        <w:t xml:space="preserve">con respecto a la información histórica. </w:t>
      </w:r>
    </w:p>
    <w:p w14:paraId="704FC4C5" w14:textId="77777777" w:rsidR="004B4AD4" w:rsidRPr="004B4AD4" w:rsidRDefault="004B4AD4" w:rsidP="004B4AD4">
      <w:pPr>
        <w:pStyle w:val="Prrafodelista"/>
        <w:spacing w:after="0" w:line="240" w:lineRule="exact"/>
        <w:ind w:left="567"/>
        <w:jc w:val="both"/>
        <w:rPr>
          <w:rFonts w:ascii="Verdana" w:eastAsia="Arial" w:hAnsi="Verdana" w:cs="Arial"/>
          <w:sz w:val="20"/>
          <w:szCs w:val="20"/>
        </w:rPr>
      </w:pPr>
    </w:p>
    <w:p w14:paraId="7876F700" w14:textId="1E81B029" w:rsidR="002B3025" w:rsidRPr="008416B1" w:rsidRDefault="002B3025" w:rsidP="00551D66">
      <w:pPr>
        <w:pStyle w:val="Prrafodelista"/>
        <w:numPr>
          <w:ilvl w:val="0"/>
          <w:numId w:val="46"/>
        </w:numPr>
        <w:spacing w:after="0" w:line="240" w:lineRule="exact"/>
        <w:ind w:left="567" w:hanging="567"/>
        <w:jc w:val="both"/>
        <w:rPr>
          <w:rFonts w:ascii="Verdana" w:eastAsia="Arial" w:hAnsi="Verdana" w:cs="Arial"/>
          <w:sz w:val="20"/>
          <w:szCs w:val="20"/>
        </w:rPr>
      </w:pPr>
      <w:r w:rsidRPr="008416B1">
        <w:rPr>
          <w:rFonts w:ascii="Verdana" w:hAnsi="Verdana" w:cs="Arial"/>
          <w:sz w:val="20"/>
          <w:szCs w:val="20"/>
        </w:rPr>
        <w:t>Establecer un conjunto de alertas tempranas que obliguen al comité de riesgos, al responsable de la función de gestión de riesgos y/o a la alta gerencia, a notificar de manera oportuna a la JD o a sus delegados, cuando en la revisión del modelo se requieran la adopción de acciones correctivas y/o restricciones en el uso del mismo.</w:t>
      </w:r>
    </w:p>
    <w:p w14:paraId="6F3B800A" w14:textId="77777777" w:rsidR="008416B1" w:rsidRPr="008416B1" w:rsidRDefault="008416B1" w:rsidP="008416B1">
      <w:pPr>
        <w:pStyle w:val="Prrafodelista"/>
        <w:spacing w:after="0" w:line="240" w:lineRule="exact"/>
        <w:ind w:left="567"/>
        <w:jc w:val="both"/>
        <w:rPr>
          <w:rFonts w:ascii="Verdana" w:eastAsia="Arial" w:hAnsi="Verdana" w:cs="Arial"/>
          <w:sz w:val="20"/>
          <w:szCs w:val="20"/>
        </w:rPr>
      </w:pPr>
    </w:p>
    <w:p w14:paraId="0D6E6436" w14:textId="1F2FEB19" w:rsidR="002B3025" w:rsidRPr="008416B1" w:rsidRDefault="002B3025" w:rsidP="00551D66">
      <w:pPr>
        <w:pStyle w:val="Prrafodelista"/>
        <w:numPr>
          <w:ilvl w:val="1"/>
          <w:numId w:val="40"/>
        </w:numPr>
        <w:spacing w:after="0" w:line="240" w:lineRule="exact"/>
        <w:ind w:left="851" w:hanging="284"/>
        <w:jc w:val="both"/>
        <w:rPr>
          <w:rFonts w:ascii="Verdana" w:eastAsia="Arial" w:hAnsi="Verdana" w:cs="Arial"/>
          <w:b/>
          <w:sz w:val="20"/>
          <w:szCs w:val="20"/>
        </w:rPr>
      </w:pPr>
      <w:r w:rsidRPr="008416B1">
        <w:rPr>
          <w:rFonts w:ascii="Verdana" w:eastAsia="Arial" w:hAnsi="Verdana" w:cs="Arial"/>
          <w:b/>
          <w:sz w:val="20"/>
          <w:szCs w:val="20"/>
        </w:rPr>
        <w:t xml:space="preserve">Supuestos de comportamiento para clientes con opcionalidad </w:t>
      </w:r>
    </w:p>
    <w:p w14:paraId="151A561F" w14:textId="77777777" w:rsidR="008416B1" w:rsidRPr="008416B1" w:rsidRDefault="008416B1" w:rsidP="008416B1">
      <w:pPr>
        <w:spacing w:after="0" w:line="240" w:lineRule="exact"/>
        <w:jc w:val="both"/>
        <w:rPr>
          <w:rFonts w:ascii="Verdana" w:eastAsia="Arial" w:hAnsi="Verdana" w:cs="Arial"/>
          <w:b/>
          <w:sz w:val="20"/>
          <w:szCs w:val="20"/>
        </w:rPr>
      </w:pPr>
    </w:p>
    <w:p w14:paraId="7F84AAED" w14:textId="24C0624A" w:rsidR="00ED01AA" w:rsidRPr="001C6CAB" w:rsidRDefault="00ED01AA" w:rsidP="00ED01AA">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3F5401">
        <w:rPr>
          <w:rFonts w:ascii="Verdana" w:hAnsi="Verdana"/>
          <w:sz w:val="20"/>
          <w:szCs w:val="20"/>
        </w:rPr>
        <w:t>47</w:t>
      </w:r>
      <w:r w:rsidRPr="001C6CAB">
        <w:rPr>
          <w:rFonts w:ascii="Verdana" w:hAnsi="Verdana"/>
          <w:sz w:val="20"/>
          <w:szCs w:val="20"/>
        </w:rPr>
        <w:t>.</w:t>
      </w:r>
    </w:p>
    <w:p w14:paraId="5F073558" w14:textId="05ED2968" w:rsidR="002B3025" w:rsidRPr="002B3025" w:rsidRDefault="002B3025" w:rsidP="00B929BB">
      <w:pPr>
        <w:spacing w:line="240" w:lineRule="exact"/>
        <w:jc w:val="both"/>
        <w:rPr>
          <w:rFonts w:ascii="Verdana" w:eastAsia="Arial" w:hAnsi="Verdana" w:cs="Arial"/>
          <w:bCs/>
          <w:sz w:val="20"/>
          <w:szCs w:val="20"/>
        </w:rPr>
      </w:pPr>
      <w:r w:rsidRPr="002B3025">
        <w:rPr>
          <w:rFonts w:ascii="Verdana" w:eastAsia="Arial" w:hAnsi="Verdana" w:cs="Arial"/>
          <w:bCs/>
          <w:sz w:val="20"/>
          <w:szCs w:val="20"/>
        </w:rPr>
        <w:t>La entidad debe establecer supuestos de comportamiento para clientes con opcionalidad, considerando:</w:t>
      </w:r>
    </w:p>
    <w:p w14:paraId="0E619054" w14:textId="77777777" w:rsidR="00315EB8" w:rsidRDefault="002B3025" w:rsidP="00551D66">
      <w:pPr>
        <w:pStyle w:val="Prrafodelista"/>
        <w:numPr>
          <w:ilvl w:val="0"/>
          <w:numId w:val="48"/>
        </w:numPr>
        <w:spacing w:after="0" w:line="240" w:lineRule="exact"/>
        <w:ind w:left="567" w:hanging="567"/>
        <w:jc w:val="both"/>
        <w:rPr>
          <w:rFonts w:ascii="Verdana" w:eastAsia="Arial" w:hAnsi="Verdana" w:cs="Arial"/>
          <w:sz w:val="20"/>
          <w:szCs w:val="20"/>
        </w:rPr>
      </w:pPr>
      <w:r w:rsidRPr="008416B1">
        <w:rPr>
          <w:rFonts w:ascii="Verdana" w:eastAsia="Arial" w:hAnsi="Verdana" w:cs="Arial"/>
          <w:sz w:val="20"/>
          <w:szCs w:val="20"/>
        </w:rPr>
        <w:t xml:space="preserve">El impacto potencial en la velocidad de prepago actual y futuro de los préstamos que se deriva del escenario de tasas de interés, el entorno económico subyacente </w:t>
      </w:r>
      <w:r w:rsidRPr="008416B1">
        <w:rPr>
          <w:rFonts w:ascii="Verdana" w:eastAsia="Arial" w:hAnsi="Verdana" w:cs="Arial"/>
          <w:sz w:val="20"/>
          <w:szCs w:val="20"/>
        </w:rPr>
        <w:lastRenderedPageBreak/>
        <w:t>y las características contractuales. La entidad debe tener en cuenta las diversas dimensiones que influyen en las opciones de comportamiento integradas.</w:t>
      </w:r>
    </w:p>
    <w:p w14:paraId="77224B6F" w14:textId="77777777" w:rsidR="00315EB8" w:rsidRDefault="00315EB8" w:rsidP="00315EB8">
      <w:pPr>
        <w:pStyle w:val="Prrafodelista"/>
        <w:spacing w:after="0" w:line="240" w:lineRule="exact"/>
        <w:ind w:left="567"/>
        <w:jc w:val="both"/>
        <w:rPr>
          <w:rFonts w:ascii="Verdana" w:eastAsia="Arial" w:hAnsi="Verdana" w:cs="Arial"/>
          <w:sz w:val="20"/>
          <w:szCs w:val="20"/>
        </w:rPr>
      </w:pPr>
    </w:p>
    <w:p w14:paraId="7E9DD9BA" w14:textId="77777777" w:rsidR="00315EB8" w:rsidRPr="00315EB8" w:rsidRDefault="002B3025" w:rsidP="00551D66">
      <w:pPr>
        <w:pStyle w:val="Prrafodelista"/>
        <w:numPr>
          <w:ilvl w:val="0"/>
          <w:numId w:val="48"/>
        </w:numPr>
        <w:spacing w:after="0" w:line="240" w:lineRule="exact"/>
        <w:ind w:left="567" w:hanging="567"/>
        <w:jc w:val="both"/>
        <w:rPr>
          <w:rFonts w:ascii="Verdana" w:eastAsia="Arial" w:hAnsi="Verdana" w:cs="Arial"/>
          <w:sz w:val="20"/>
          <w:szCs w:val="20"/>
        </w:rPr>
      </w:pPr>
      <w:r w:rsidRPr="00315EB8">
        <w:rPr>
          <w:rFonts w:ascii="Verdana" w:eastAsia="Arial" w:hAnsi="Verdana" w:cs="Arial"/>
          <w:bCs/>
          <w:sz w:val="20"/>
          <w:szCs w:val="20"/>
        </w:rPr>
        <w:t>La elasticidad del ajuste de las tasas del producto o exposición ante cambios en las tasas de interés del mercado.</w:t>
      </w:r>
    </w:p>
    <w:p w14:paraId="08B6AD5C" w14:textId="77777777" w:rsidR="00315EB8" w:rsidRPr="00315EB8" w:rsidRDefault="00315EB8" w:rsidP="00315EB8">
      <w:pPr>
        <w:pStyle w:val="Prrafodelista"/>
        <w:rPr>
          <w:rFonts w:ascii="Verdana" w:eastAsia="Arial" w:hAnsi="Verdana" w:cs="Arial"/>
          <w:bCs/>
          <w:sz w:val="20"/>
          <w:szCs w:val="20"/>
        </w:rPr>
      </w:pPr>
    </w:p>
    <w:p w14:paraId="63BC1B24" w14:textId="77777777" w:rsidR="00315EB8" w:rsidRPr="00315EB8" w:rsidRDefault="002B3025" w:rsidP="00551D66">
      <w:pPr>
        <w:pStyle w:val="Prrafodelista"/>
        <w:numPr>
          <w:ilvl w:val="0"/>
          <w:numId w:val="48"/>
        </w:numPr>
        <w:spacing w:after="0" w:line="240" w:lineRule="exact"/>
        <w:ind w:left="567" w:hanging="567"/>
        <w:jc w:val="both"/>
        <w:rPr>
          <w:rFonts w:ascii="Verdana" w:eastAsia="Arial" w:hAnsi="Verdana" w:cs="Arial"/>
          <w:sz w:val="20"/>
          <w:szCs w:val="20"/>
        </w:rPr>
      </w:pPr>
      <w:r w:rsidRPr="00315EB8">
        <w:rPr>
          <w:rFonts w:ascii="Verdana" w:eastAsia="Arial" w:hAnsi="Verdana" w:cs="Arial"/>
          <w:bCs/>
          <w:sz w:val="20"/>
          <w:szCs w:val="20"/>
        </w:rPr>
        <w:t>La migración de los saldos entre diferentes tipos de productos como consecuencia de los cambios en sus características, términos y condiciones.</w:t>
      </w:r>
    </w:p>
    <w:p w14:paraId="426A1FFA" w14:textId="77777777" w:rsidR="00315EB8" w:rsidRPr="00315EB8" w:rsidRDefault="00315EB8" w:rsidP="00315EB8">
      <w:pPr>
        <w:pStyle w:val="Prrafodelista"/>
        <w:rPr>
          <w:rFonts w:ascii="Verdana" w:eastAsia="Arial" w:hAnsi="Verdana" w:cs="Arial"/>
          <w:bCs/>
          <w:sz w:val="20"/>
          <w:szCs w:val="20"/>
        </w:rPr>
      </w:pPr>
    </w:p>
    <w:p w14:paraId="4ABCFD70" w14:textId="4A1D5E6B" w:rsidR="002B3025" w:rsidRPr="00315EB8" w:rsidRDefault="002B3025" w:rsidP="00551D66">
      <w:pPr>
        <w:pStyle w:val="Prrafodelista"/>
        <w:numPr>
          <w:ilvl w:val="0"/>
          <w:numId w:val="48"/>
        </w:numPr>
        <w:spacing w:after="0" w:line="240" w:lineRule="exact"/>
        <w:ind w:left="567" w:hanging="567"/>
        <w:jc w:val="both"/>
        <w:rPr>
          <w:rFonts w:ascii="Verdana" w:eastAsia="Arial" w:hAnsi="Verdana" w:cs="Arial"/>
          <w:sz w:val="20"/>
          <w:szCs w:val="20"/>
        </w:rPr>
      </w:pPr>
      <w:r w:rsidRPr="00315EB8">
        <w:rPr>
          <w:rFonts w:ascii="Verdana" w:eastAsia="Arial" w:hAnsi="Verdana" w:cs="Arial"/>
          <w:bCs/>
          <w:sz w:val="20"/>
          <w:szCs w:val="20"/>
        </w:rPr>
        <w:t>En su marco de gestión del RTILB la entidad deberá contar con políticas para la determinación y la evaluación regular de los supuestos clave para el tratamiento de las partidas de dentro y fuera del balance que tienen opciones incorporadas. Esto significa que la entidad debe:</w:t>
      </w:r>
    </w:p>
    <w:p w14:paraId="408596BA" w14:textId="77777777" w:rsidR="005968EF" w:rsidRPr="005968EF" w:rsidRDefault="005968EF" w:rsidP="005968EF">
      <w:pPr>
        <w:pStyle w:val="Prrafodelista"/>
        <w:rPr>
          <w:rFonts w:ascii="Verdana" w:eastAsia="Arial" w:hAnsi="Verdana" w:cs="Arial"/>
          <w:bCs/>
          <w:sz w:val="20"/>
          <w:szCs w:val="20"/>
        </w:rPr>
      </w:pPr>
    </w:p>
    <w:p w14:paraId="3C3E57A5" w14:textId="77777777" w:rsidR="00315EB8" w:rsidRDefault="002B3025" w:rsidP="00551D66">
      <w:pPr>
        <w:pStyle w:val="Prrafodelista"/>
        <w:numPr>
          <w:ilvl w:val="0"/>
          <w:numId w:val="49"/>
        </w:numPr>
        <w:spacing w:after="0" w:line="240" w:lineRule="exact"/>
        <w:ind w:left="1134" w:hanging="567"/>
        <w:jc w:val="both"/>
        <w:rPr>
          <w:rFonts w:ascii="Verdana" w:eastAsia="Arial" w:hAnsi="Verdana" w:cs="Arial"/>
          <w:bCs/>
          <w:sz w:val="20"/>
          <w:szCs w:val="20"/>
        </w:rPr>
      </w:pPr>
      <w:r w:rsidRPr="00315EB8">
        <w:rPr>
          <w:rFonts w:ascii="Verdana" w:eastAsia="Arial" w:hAnsi="Verdana" w:cs="Arial"/>
          <w:bCs/>
          <w:sz w:val="20"/>
          <w:szCs w:val="20"/>
        </w:rPr>
        <w:t>Identificar todos los productos y partidas sujetos a opciones implícitas que podrían afectar la tasa de interés aplicada o la fecha de revisión de la tasa de comportamiento (a diferencia de la fecha de vencimiento contractual) de los saldos relevantes</w:t>
      </w:r>
      <w:r w:rsidR="00315EB8">
        <w:rPr>
          <w:rFonts w:ascii="Verdana" w:eastAsia="Arial" w:hAnsi="Verdana" w:cs="Arial"/>
          <w:bCs/>
          <w:sz w:val="20"/>
          <w:szCs w:val="20"/>
        </w:rPr>
        <w:t>.</w:t>
      </w:r>
    </w:p>
    <w:p w14:paraId="45525D0A" w14:textId="77777777" w:rsidR="00315EB8" w:rsidRDefault="00315EB8" w:rsidP="00315EB8">
      <w:pPr>
        <w:pStyle w:val="Prrafodelista"/>
        <w:spacing w:after="0" w:line="240" w:lineRule="exact"/>
        <w:ind w:left="1134"/>
        <w:jc w:val="both"/>
        <w:rPr>
          <w:rFonts w:ascii="Verdana" w:eastAsia="Arial" w:hAnsi="Verdana" w:cs="Arial"/>
          <w:bCs/>
          <w:sz w:val="20"/>
          <w:szCs w:val="20"/>
        </w:rPr>
      </w:pPr>
    </w:p>
    <w:p w14:paraId="53D42CD5" w14:textId="77777777" w:rsidR="00315EB8" w:rsidRDefault="002B3025" w:rsidP="00551D66">
      <w:pPr>
        <w:pStyle w:val="Prrafodelista"/>
        <w:numPr>
          <w:ilvl w:val="0"/>
          <w:numId w:val="49"/>
        </w:numPr>
        <w:spacing w:after="0" w:line="240" w:lineRule="exact"/>
        <w:ind w:left="1134" w:hanging="567"/>
        <w:jc w:val="both"/>
        <w:rPr>
          <w:rFonts w:ascii="Verdana" w:eastAsia="Arial" w:hAnsi="Verdana" w:cs="Arial"/>
          <w:bCs/>
          <w:sz w:val="20"/>
          <w:szCs w:val="20"/>
        </w:rPr>
      </w:pPr>
      <w:r w:rsidRPr="00315EB8">
        <w:rPr>
          <w:rFonts w:ascii="Verdana" w:eastAsia="Arial" w:hAnsi="Verdana" w:cs="Arial"/>
          <w:bCs/>
          <w:sz w:val="20"/>
          <w:szCs w:val="20"/>
        </w:rPr>
        <w:t>Disponer de estrategias adecuadas de fijación de precios y mitigación de riesgos, por ejemplo: el uso de derivados para gestionar el impacto del riesgo de opcionalidad</w:t>
      </w:r>
      <w:r w:rsidR="00315EB8">
        <w:rPr>
          <w:rFonts w:ascii="Verdana" w:eastAsia="Arial" w:hAnsi="Verdana" w:cs="Arial"/>
          <w:bCs/>
          <w:sz w:val="20"/>
          <w:szCs w:val="20"/>
        </w:rPr>
        <w:t>.</w:t>
      </w:r>
    </w:p>
    <w:p w14:paraId="0DC8CD82" w14:textId="77777777" w:rsidR="00315EB8" w:rsidRPr="00315EB8" w:rsidRDefault="00315EB8" w:rsidP="00315EB8">
      <w:pPr>
        <w:pStyle w:val="Prrafodelista"/>
        <w:rPr>
          <w:rFonts w:ascii="Verdana" w:eastAsia="Arial" w:hAnsi="Verdana" w:cs="Arial"/>
          <w:bCs/>
          <w:sz w:val="20"/>
          <w:szCs w:val="20"/>
        </w:rPr>
      </w:pPr>
    </w:p>
    <w:p w14:paraId="5A858DC7" w14:textId="77777777" w:rsidR="00315EB8" w:rsidRDefault="002B3025" w:rsidP="00551D66">
      <w:pPr>
        <w:pStyle w:val="Prrafodelista"/>
        <w:numPr>
          <w:ilvl w:val="0"/>
          <w:numId w:val="49"/>
        </w:numPr>
        <w:spacing w:after="0" w:line="240" w:lineRule="exact"/>
        <w:ind w:left="1134" w:hanging="567"/>
        <w:jc w:val="both"/>
        <w:rPr>
          <w:rFonts w:ascii="Verdana" w:eastAsia="Arial" w:hAnsi="Verdana" w:cs="Arial"/>
          <w:bCs/>
          <w:sz w:val="20"/>
          <w:szCs w:val="20"/>
        </w:rPr>
      </w:pPr>
      <w:r w:rsidRPr="00315EB8">
        <w:rPr>
          <w:rFonts w:ascii="Verdana" w:eastAsia="Arial" w:hAnsi="Verdana" w:cs="Arial"/>
          <w:bCs/>
          <w:sz w:val="20"/>
          <w:szCs w:val="20"/>
        </w:rPr>
        <w:t>Garantizar que la modelación de los supuestos clave de comportamiento sea justificable en relación con los datos históricos subyacentes y se basa en hipótesis prudentes</w:t>
      </w:r>
      <w:r w:rsidR="00315EB8">
        <w:rPr>
          <w:rFonts w:ascii="Verdana" w:eastAsia="Arial" w:hAnsi="Verdana" w:cs="Arial"/>
          <w:bCs/>
          <w:sz w:val="20"/>
          <w:szCs w:val="20"/>
        </w:rPr>
        <w:t>.</w:t>
      </w:r>
    </w:p>
    <w:p w14:paraId="509CEE93" w14:textId="77777777" w:rsidR="00315EB8" w:rsidRPr="00315EB8" w:rsidRDefault="00315EB8" w:rsidP="00315EB8">
      <w:pPr>
        <w:pStyle w:val="Prrafodelista"/>
        <w:rPr>
          <w:rFonts w:ascii="Verdana" w:eastAsia="Arial" w:hAnsi="Verdana" w:cs="Arial"/>
          <w:bCs/>
          <w:sz w:val="20"/>
          <w:szCs w:val="20"/>
        </w:rPr>
      </w:pPr>
    </w:p>
    <w:p w14:paraId="5C4CE8C4" w14:textId="77777777" w:rsidR="00315EB8" w:rsidRDefault="002B3025" w:rsidP="00551D66">
      <w:pPr>
        <w:pStyle w:val="Prrafodelista"/>
        <w:numPr>
          <w:ilvl w:val="0"/>
          <w:numId w:val="49"/>
        </w:numPr>
        <w:spacing w:after="0" w:line="240" w:lineRule="exact"/>
        <w:ind w:left="1134" w:hanging="567"/>
        <w:jc w:val="both"/>
        <w:rPr>
          <w:rFonts w:ascii="Verdana" w:eastAsia="Arial" w:hAnsi="Verdana" w:cs="Arial"/>
          <w:bCs/>
          <w:sz w:val="20"/>
          <w:szCs w:val="20"/>
        </w:rPr>
      </w:pPr>
      <w:r w:rsidRPr="00315EB8">
        <w:rPr>
          <w:rFonts w:ascii="Verdana" w:eastAsia="Arial" w:hAnsi="Verdana" w:cs="Arial"/>
          <w:bCs/>
          <w:sz w:val="20"/>
          <w:szCs w:val="20"/>
        </w:rPr>
        <w:t>Demostrar que tienen modelos precisos, contrastados con la experiencia</w:t>
      </w:r>
      <w:r w:rsidR="00315EB8">
        <w:rPr>
          <w:rFonts w:ascii="Verdana" w:eastAsia="Arial" w:hAnsi="Verdana" w:cs="Arial"/>
          <w:bCs/>
          <w:sz w:val="20"/>
          <w:szCs w:val="20"/>
        </w:rPr>
        <w:t>.</w:t>
      </w:r>
    </w:p>
    <w:p w14:paraId="0D8A852B" w14:textId="77777777" w:rsidR="00315EB8" w:rsidRPr="00315EB8" w:rsidRDefault="00315EB8" w:rsidP="00315EB8">
      <w:pPr>
        <w:pStyle w:val="Prrafodelista"/>
        <w:rPr>
          <w:rFonts w:ascii="Verdana" w:eastAsia="Arial" w:hAnsi="Verdana" w:cs="Arial"/>
          <w:bCs/>
          <w:sz w:val="20"/>
          <w:szCs w:val="20"/>
        </w:rPr>
      </w:pPr>
    </w:p>
    <w:p w14:paraId="299875F5" w14:textId="77777777" w:rsidR="00EF7A3A" w:rsidRDefault="002B3025" w:rsidP="00551D66">
      <w:pPr>
        <w:pStyle w:val="Prrafodelista"/>
        <w:numPr>
          <w:ilvl w:val="0"/>
          <w:numId w:val="49"/>
        </w:numPr>
        <w:spacing w:after="0" w:line="240" w:lineRule="exact"/>
        <w:ind w:left="1134" w:hanging="567"/>
        <w:jc w:val="both"/>
        <w:rPr>
          <w:rFonts w:ascii="Verdana" w:eastAsia="Arial" w:hAnsi="Verdana" w:cs="Arial"/>
          <w:bCs/>
          <w:sz w:val="20"/>
          <w:szCs w:val="20"/>
        </w:rPr>
      </w:pPr>
      <w:r w:rsidRPr="00315EB8">
        <w:rPr>
          <w:rFonts w:ascii="Verdana" w:eastAsia="Arial" w:hAnsi="Verdana" w:cs="Arial"/>
          <w:bCs/>
          <w:sz w:val="20"/>
          <w:szCs w:val="20"/>
        </w:rPr>
        <w:t>Mantener la documentación apropiada de los supuestos en sus políticas y procedimientos, y tener un proceso para mantenerlos bajo revisión continúa</w:t>
      </w:r>
      <w:r w:rsidR="00EF7A3A">
        <w:rPr>
          <w:rFonts w:ascii="Verdana" w:eastAsia="Arial" w:hAnsi="Verdana" w:cs="Arial"/>
          <w:bCs/>
          <w:sz w:val="20"/>
          <w:szCs w:val="20"/>
        </w:rPr>
        <w:t>.</w:t>
      </w:r>
    </w:p>
    <w:p w14:paraId="58F209D3" w14:textId="77777777" w:rsidR="00EF7A3A" w:rsidRPr="00EF7A3A" w:rsidRDefault="00EF7A3A" w:rsidP="00EF7A3A">
      <w:pPr>
        <w:pStyle w:val="Prrafodelista"/>
        <w:rPr>
          <w:rFonts w:ascii="Verdana" w:eastAsia="Arial" w:hAnsi="Verdana" w:cs="Arial"/>
          <w:sz w:val="20"/>
          <w:szCs w:val="20"/>
        </w:rPr>
      </w:pPr>
    </w:p>
    <w:p w14:paraId="05037409" w14:textId="28143094" w:rsidR="002B3025" w:rsidRPr="00315EB8" w:rsidRDefault="002B3025" w:rsidP="00551D66">
      <w:pPr>
        <w:pStyle w:val="Prrafodelista"/>
        <w:numPr>
          <w:ilvl w:val="0"/>
          <w:numId w:val="49"/>
        </w:numPr>
        <w:spacing w:after="0" w:line="240" w:lineRule="exact"/>
        <w:ind w:left="1134" w:hanging="567"/>
        <w:jc w:val="both"/>
        <w:rPr>
          <w:rFonts w:ascii="Verdana" w:eastAsia="Arial" w:hAnsi="Verdana" w:cs="Arial"/>
          <w:bCs/>
          <w:sz w:val="20"/>
          <w:szCs w:val="20"/>
        </w:rPr>
      </w:pPr>
      <w:r w:rsidRPr="00315EB8">
        <w:rPr>
          <w:rFonts w:ascii="Verdana" w:eastAsia="Arial" w:hAnsi="Verdana" w:cs="Arial"/>
          <w:sz w:val="20"/>
          <w:szCs w:val="20"/>
        </w:rPr>
        <w:t>Comprender la sensibilidad de los resultados de la medición del RTILB de la entidad frente a estos supuestos, incluida la realización de pruebas de estrés de los mencionados supuestos, la consideración de los resultados de dichas pruebas en las decisiones internas de asignación de capital; y realizar una validación interna periódica de estos supuestos para verificar su estabilidad en el tiempo y ajustarlos si es necesario.</w:t>
      </w:r>
    </w:p>
    <w:p w14:paraId="742EF06A" w14:textId="77777777" w:rsidR="00EF7A3A" w:rsidRDefault="00EF7A3A" w:rsidP="12B437D6">
      <w:pPr>
        <w:spacing w:after="0" w:line="240" w:lineRule="exact"/>
        <w:jc w:val="both"/>
        <w:rPr>
          <w:rFonts w:ascii="Verdana" w:eastAsia="Arial" w:hAnsi="Verdana" w:cs="Arial"/>
          <w:bCs/>
          <w:sz w:val="20"/>
          <w:szCs w:val="20"/>
        </w:rPr>
      </w:pPr>
    </w:p>
    <w:p w14:paraId="70D67D92" w14:textId="77777777" w:rsidR="00EF7A3A" w:rsidRDefault="002B3025" w:rsidP="00551D66">
      <w:pPr>
        <w:pStyle w:val="Prrafodelista"/>
        <w:numPr>
          <w:ilvl w:val="0"/>
          <w:numId w:val="48"/>
        </w:numPr>
        <w:spacing w:after="0" w:line="240" w:lineRule="exact"/>
        <w:ind w:left="567" w:hanging="567"/>
        <w:jc w:val="both"/>
        <w:rPr>
          <w:rFonts w:ascii="Verdana" w:eastAsia="Arial" w:hAnsi="Verdana" w:cs="Arial"/>
          <w:color w:val="000000" w:themeColor="text1"/>
          <w:sz w:val="20"/>
          <w:szCs w:val="20"/>
        </w:rPr>
      </w:pPr>
      <w:r w:rsidRPr="00EF7A3A">
        <w:rPr>
          <w:rFonts w:ascii="Verdana" w:eastAsia="Arial" w:hAnsi="Verdana" w:cs="Arial"/>
          <w:sz w:val="20"/>
          <w:szCs w:val="20"/>
        </w:rPr>
        <w:t xml:space="preserve">Las entidades podrán estimar los supuestos de comportamiento sobre los depósitos sin vencimiento, realizando un adecuado análisis del comportamiento de sus depósitos en función de la serie histórica que debe incluir periodos ascendentes y descendentes en la tasa de interés libre de riesgo, que le permita estimar de manera adecuada la sensibilidad de estos instrumentos a los cambios de las tasas de interés. </w:t>
      </w:r>
      <w:r w:rsidRPr="00EF7A3A">
        <w:rPr>
          <w:rFonts w:ascii="Verdana" w:eastAsia="Arial" w:hAnsi="Verdana" w:cs="Arial"/>
          <w:color w:val="000000" w:themeColor="text1"/>
          <w:sz w:val="20"/>
          <w:szCs w:val="20"/>
        </w:rPr>
        <w:t>No obstante, el límite al vencimiento promedio de los depósitos sin vencimiento debería restringirse a un máximo promedio ponderado de 5 años.</w:t>
      </w:r>
    </w:p>
    <w:p w14:paraId="5A37D9ED" w14:textId="77777777" w:rsidR="00EF7A3A" w:rsidRPr="00EF7A3A" w:rsidRDefault="00EF7A3A" w:rsidP="00EF7A3A">
      <w:pPr>
        <w:pStyle w:val="Prrafodelista"/>
        <w:spacing w:after="0" w:line="240" w:lineRule="exact"/>
        <w:ind w:left="567"/>
        <w:jc w:val="both"/>
        <w:rPr>
          <w:rFonts w:ascii="Verdana" w:eastAsia="Arial" w:hAnsi="Verdana" w:cs="Arial"/>
          <w:color w:val="000000" w:themeColor="text1"/>
          <w:sz w:val="20"/>
          <w:szCs w:val="20"/>
        </w:rPr>
      </w:pPr>
    </w:p>
    <w:p w14:paraId="737B1CF3" w14:textId="6F9C4CB6" w:rsidR="002B3025" w:rsidRPr="00EF7A3A" w:rsidRDefault="002B3025" w:rsidP="00551D66">
      <w:pPr>
        <w:pStyle w:val="Prrafodelista"/>
        <w:numPr>
          <w:ilvl w:val="0"/>
          <w:numId w:val="48"/>
        </w:numPr>
        <w:spacing w:after="0" w:line="240" w:lineRule="exact"/>
        <w:ind w:left="567" w:hanging="567"/>
        <w:jc w:val="both"/>
        <w:rPr>
          <w:rFonts w:ascii="Verdana" w:eastAsia="Arial" w:hAnsi="Verdana" w:cs="Arial"/>
          <w:color w:val="000000" w:themeColor="text1"/>
          <w:sz w:val="20"/>
          <w:szCs w:val="20"/>
        </w:rPr>
      </w:pPr>
      <w:r w:rsidRPr="00EF7A3A">
        <w:rPr>
          <w:rFonts w:ascii="Verdana" w:eastAsia="Arial" w:hAnsi="Verdana" w:cs="Arial"/>
          <w:bCs/>
          <w:sz w:val="20"/>
          <w:szCs w:val="20"/>
        </w:rPr>
        <w:t xml:space="preserve">Al realizar los supuestos de comportamiento sobre las cuentas sin fecha específica de revisión de precios, la entidad debe considerar al menos lo siguiente: </w:t>
      </w:r>
    </w:p>
    <w:p w14:paraId="551288C4" w14:textId="77777777" w:rsidR="002B3025" w:rsidRPr="002B3025" w:rsidRDefault="002B3025" w:rsidP="00B929BB">
      <w:pPr>
        <w:pStyle w:val="Prrafodelista"/>
        <w:spacing w:line="240" w:lineRule="exact"/>
        <w:ind w:left="284"/>
        <w:jc w:val="both"/>
        <w:rPr>
          <w:rFonts w:ascii="Verdana" w:eastAsia="Arial" w:hAnsi="Verdana" w:cs="Arial"/>
          <w:bCs/>
          <w:sz w:val="20"/>
          <w:szCs w:val="20"/>
        </w:rPr>
      </w:pPr>
    </w:p>
    <w:p w14:paraId="0182F480" w14:textId="5156BF72" w:rsidR="00EF7A3A" w:rsidRDefault="002B3025" w:rsidP="00551D66">
      <w:pPr>
        <w:pStyle w:val="Prrafodelista"/>
        <w:numPr>
          <w:ilvl w:val="0"/>
          <w:numId w:val="50"/>
        </w:numPr>
        <w:spacing w:after="0" w:line="240" w:lineRule="exact"/>
        <w:ind w:left="1134" w:hanging="567"/>
        <w:jc w:val="both"/>
        <w:rPr>
          <w:rFonts w:ascii="Verdana" w:eastAsia="Arial" w:hAnsi="Verdana" w:cs="Arial"/>
          <w:sz w:val="20"/>
          <w:szCs w:val="20"/>
        </w:rPr>
      </w:pPr>
      <w:r w:rsidRPr="00EF7A3A">
        <w:rPr>
          <w:rFonts w:ascii="Verdana" w:eastAsia="Arial" w:hAnsi="Verdana" w:cs="Arial"/>
          <w:sz w:val="20"/>
          <w:szCs w:val="20"/>
        </w:rPr>
        <w:t xml:space="preserve">Identificar, </w:t>
      </w:r>
      <w:r w:rsidR="00EF7A3A">
        <w:rPr>
          <w:rFonts w:ascii="Verdana" w:eastAsia="Arial" w:hAnsi="Verdana" w:cs="Arial"/>
          <w:sz w:val="20"/>
          <w:szCs w:val="20"/>
        </w:rPr>
        <w:t>(A</w:t>
      </w:r>
      <w:r w:rsidRPr="00EF7A3A">
        <w:rPr>
          <w:rFonts w:ascii="Verdana" w:eastAsia="Arial" w:hAnsi="Verdana" w:cs="Arial"/>
          <w:sz w:val="20"/>
          <w:szCs w:val="20"/>
        </w:rPr>
        <w:t>) los saldos básicos, es decir, depósitos que son estables y es poco probable que cambien de precio, incluso bajo cambios significativos en el entorno de las tasas de interés y</w:t>
      </w:r>
      <w:r w:rsidR="00EF7A3A">
        <w:rPr>
          <w:rFonts w:ascii="Verdana" w:eastAsia="Arial" w:hAnsi="Verdana" w:cs="Arial"/>
          <w:sz w:val="20"/>
          <w:szCs w:val="20"/>
        </w:rPr>
        <w:t xml:space="preserve"> (B</w:t>
      </w:r>
      <w:r w:rsidRPr="00EF7A3A">
        <w:rPr>
          <w:rFonts w:ascii="Verdana" w:eastAsia="Arial" w:hAnsi="Verdana" w:cs="Arial"/>
          <w:sz w:val="20"/>
          <w:szCs w:val="20"/>
        </w:rPr>
        <w:t xml:space="preserve">) otros depósitos cuyo nivel de elasticidad ante cambios en las tasas de interés podría ser modelada por la entidad. </w:t>
      </w:r>
    </w:p>
    <w:p w14:paraId="1C700A7E" w14:textId="77777777" w:rsidR="00EF7A3A" w:rsidRDefault="00EF7A3A" w:rsidP="00EF7A3A">
      <w:pPr>
        <w:pStyle w:val="Prrafodelista"/>
        <w:spacing w:after="0" w:line="240" w:lineRule="exact"/>
        <w:ind w:left="1134"/>
        <w:jc w:val="both"/>
        <w:rPr>
          <w:rFonts w:ascii="Verdana" w:eastAsia="Arial" w:hAnsi="Verdana" w:cs="Arial"/>
          <w:sz w:val="20"/>
          <w:szCs w:val="20"/>
        </w:rPr>
      </w:pPr>
    </w:p>
    <w:p w14:paraId="067A4ECC" w14:textId="4B499617" w:rsidR="00EF7A3A" w:rsidRPr="00EF7A3A" w:rsidRDefault="002B3025" w:rsidP="00551D66">
      <w:pPr>
        <w:pStyle w:val="Prrafodelista"/>
        <w:numPr>
          <w:ilvl w:val="0"/>
          <w:numId w:val="50"/>
        </w:numPr>
        <w:spacing w:after="0" w:line="240" w:lineRule="exact"/>
        <w:ind w:left="1134" w:hanging="567"/>
        <w:jc w:val="both"/>
        <w:rPr>
          <w:rFonts w:ascii="Verdana" w:eastAsia="Arial" w:hAnsi="Verdana" w:cs="Arial"/>
          <w:sz w:val="20"/>
          <w:szCs w:val="20"/>
        </w:rPr>
      </w:pPr>
      <w:r w:rsidRPr="00EF7A3A">
        <w:rPr>
          <w:rFonts w:ascii="Verdana" w:eastAsia="Arial" w:hAnsi="Verdana" w:cs="Arial"/>
          <w:bCs/>
          <w:sz w:val="20"/>
          <w:szCs w:val="20"/>
        </w:rPr>
        <w:t xml:space="preserve">Reflejar las características del depositante, por ejemplo: minorista/mayorista, y las características de la cuenta, por ejemplo: transaccional/no transaccional. Una descripción de tales categorías se cita a continuación: </w:t>
      </w:r>
      <w:r w:rsidR="004B4AD4">
        <w:rPr>
          <w:rFonts w:ascii="Verdana" w:eastAsia="Arial" w:hAnsi="Verdana" w:cs="Arial"/>
          <w:bCs/>
          <w:sz w:val="20"/>
          <w:szCs w:val="20"/>
        </w:rPr>
        <w:t>(A</w:t>
      </w:r>
      <w:r w:rsidRPr="00EF7A3A">
        <w:rPr>
          <w:rFonts w:ascii="Verdana" w:eastAsia="Arial" w:hAnsi="Verdana" w:cs="Arial"/>
          <w:bCs/>
          <w:sz w:val="20"/>
          <w:szCs w:val="20"/>
        </w:rPr>
        <w:t xml:space="preserve">) Los depósitos transaccionales minoristas incluyen cuentas que no devengan intereses y otras cuentas minoristas cuyo componente de remuneración no es relevante en la decisión del cliente de mantener dinero en la cuenta, </w:t>
      </w:r>
      <w:r w:rsidR="004B4AD4">
        <w:rPr>
          <w:rFonts w:ascii="Verdana" w:eastAsia="Arial" w:hAnsi="Verdana" w:cs="Arial"/>
          <w:bCs/>
          <w:sz w:val="20"/>
          <w:szCs w:val="20"/>
        </w:rPr>
        <w:t>(B</w:t>
      </w:r>
      <w:r w:rsidRPr="00EF7A3A">
        <w:rPr>
          <w:rFonts w:ascii="Verdana" w:eastAsia="Arial" w:hAnsi="Verdana" w:cs="Arial"/>
          <w:bCs/>
          <w:sz w:val="20"/>
          <w:szCs w:val="20"/>
        </w:rPr>
        <w:t xml:space="preserve">) los depósitos minoristas no transaccionales incluyen cuentas minoristas cuyo componente de remuneración es relevante en la decisión del cliente de mantener dinero en la cuenta, </w:t>
      </w:r>
      <w:r w:rsidR="004B4AD4">
        <w:rPr>
          <w:rFonts w:ascii="Verdana" w:eastAsia="Arial" w:hAnsi="Verdana" w:cs="Arial"/>
          <w:bCs/>
          <w:sz w:val="20"/>
          <w:szCs w:val="20"/>
        </w:rPr>
        <w:t>(C</w:t>
      </w:r>
      <w:r w:rsidRPr="00EF7A3A">
        <w:rPr>
          <w:rFonts w:ascii="Verdana" w:eastAsia="Arial" w:hAnsi="Verdana" w:cs="Arial"/>
          <w:bCs/>
          <w:sz w:val="20"/>
          <w:szCs w:val="20"/>
        </w:rPr>
        <w:t xml:space="preserve">) los depósitos mayoristas </w:t>
      </w:r>
      <w:r w:rsidRPr="00EF7A3A">
        <w:rPr>
          <w:rFonts w:ascii="Verdana" w:eastAsia="Arial" w:hAnsi="Verdana" w:cs="Arial"/>
          <w:bCs/>
          <w:sz w:val="20"/>
          <w:szCs w:val="20"/>
        </w:rPr>
        <w:lastRenderedPageBreak/>
        <w:t>incluyen cuentas de empresas y otras cuentas totalmente sensibles a los precios</w:t>
      </w:r>
      <w:r w:rsidR="00EF7A3A">
        <w:rPr>
          <w:rFonts w:ascii="Verdana" w:eastAsia="Arial" w:hAnsi="Verdana" w:cs="Arial"/>
          <w:bCs/>
          <w:sz w:val="20"/>
          <w:szCs w:val="20"/>
        </w:rPr>
        <w:t>.</w:t>
      </w:r>
    </w:p>
    <w:p w14:paraId="1D2D9EF6" w14:textId="77777777" w:rsidR="00EF7A3A" w:rsidRPr="00EF7A3A" w:rsidRDefault="00EF7A3A" w:rsidP="00EF7A3A">
      <w:pPr>
        <w:pStyle w:val="Prrafodelista"/>
        <w:rPr>
          <w:rFonts w:ascii="Verdana" w:eastAsia="Arial" w:hAnsi="Verdana" w:cs="Arial"/>
          <w:bCs/>
          <w:sz w:val="20"/>
          <w:szCs w:val="20"/>
        </w:rPr>
      </w:pPr>
    </w:p>
    <w:p w14:paraId="248832CA" w14:textId="1412606E" w:rsidR="00EF7A3A" w:rsidRPr="00EF7A3A" w:rsidRDefault="002B3025" w:rsidP="00551D66">
      <w:pPr>
        <w:pStyle w:val="Prrafodelista"/>
        <w:numPr>
          <w:ilvl w:val="0"/>
          <w:numId w:val="50"/>
        </w:numPr>
        <w:spacing w:after="0" w:line="240" w:lineRule="exact"/>
        <w:ind w:left="1134" w:hanging="567"/>
        <w:jc w:val="both"/>
        <w:rPr>
          <w:rFonts w:ascii="Verdana" w:eastAsia="Arial" w:hAnsi="Verdana" w:cs="Arial"/>
          <w:sz w:val="20"/>
          <w:szCs w:val="20"/>
        </w:rPr>
      </w:pPr>
      <w:r w:rsidRPr="00EF7A3A">
        <w:rPr>
          <w:rFonts w:ascii="Verdana" w:eastAsia="Arial" w:hAnsi="Verdana" w:cs="Arial"/>
          <w:bCs/>
          <w:sz w:val="20"/>
          <w:szCs w:val="20"/>
        </w:rPr>
        <w:t>Evaluar la migración potencial entre los depósitos sin fechas específicas de revisión de precio y otros depósitos que podrían modificar los supuestos clave de comportamiento del modelo, bajo diferentes escenarios de tasas de interés</w:t>
      </w:r>
      <w:r w:rsidR="00EF7A3A">
        <w:rPr>
          <w:rFonts w:ascii="Verdana" w:eastAsia="Arial" w:hAnsi="Verdana" w:cs="Arial"/>
          <w:bCs/>
          <w:sz w:val="20"/>
          <w:szCs w:val="20"/>
        </w:rPr>
        <w:t>.</w:t>
      </w:r>
    </w:p>
    <w:p w14:paraId="18114208" w14:textId="77777777" w:rsidR="00EF7A3A" w:rsidRPr="00EF7A3A" w:rsidRDefault="00EF7A3A" w:rsidP="00EF7A3A">
      <w:pPr>
        <w:pStyle w:val="Prrafodelista"/>
        <w:rPr>
          <w:rFonts w:ascii="Verdana" w:eastAsia="Arial" w:hAnsi="Verdana" w:cs="Arial"/>
          <w:bCs/>
          <w:sz w:val="20"/>
          <w:szCs w:val="20"/>
        </w:rPr>
      </w:pPr>
    </w:p>
    <w:p w14:paraId="363B9625" w14:textId="77777777" w:rsidR="00EF7A3A" w:rsidRPr="00EF7A3A" w:rsidRDefault="002B3025" w:rsidP="00551D66">
      <w:pPr>
        <w:pStyle w:val="Prrafodelista"/>
        <w:numPr>
          <w:ilvl w:val="0"/>
          <w:numId w:val="50"/>
        </w:numPr>
        <w:spacing w:after="0" w:line="240" w:lineRule="exact"/>
        <w:ind w:left="1134" w:hanging="567"/>
        <w:jc w:val="both"/>
        <w:rPr>
          <w:rFonts w:ascii="Verdana" w:eastAsia="Arial" w:hAnsi="Verdana" w:cs="Arial"/>
          <w:sz w:val="20"/>
          <w:szCs w:val="20"/>
        </w:rPr>
      </w:pPr>
      <w:r w:rsidRPr="00EF7A3A">
        <w:rPr>
          <w:rFonts w:ascii="Verdana" w:eastAsia="Arial" w:hAnsi="Verdana" w:cs="Arial"/>
          <w:bCs/>
          <w:sz w:val="20"/>
          <w:szCs w:val="20"/>
        </w:rPr>
        <w:t>Garantizar que los supuestos del modelo sobre el retiro de los saldos “básicos” y los “no básicos” sean prudentes y apropiados para equilibrar los beneficios en los ingresos netos por intereses frente al valor económico adicional que implica asegurar un rendimiento futuro de la tasa de interés sobre los activos financiados por estos saldos de balance, y los posibles ingresos que se dejarían de percibir en un entorno de tasas de interés al alza.</w:t>
      </w:r>
    </w:p>
    <w:p w14:paraId="26FBE7B4" w14:textId="77777777" w:rsidR="00EF7A3A" w:rsidRPr="00EF7A3A" w:rsidRDefault="00EF7A3A" w:rsidP="00EF7A3A">
      <w:pPr>
        <w:pStyle w:val="Prrafodelista"/>
        <w:rPr>
          <w:rFonts w:ascii="Verdana" w:eastAsia="Arial" w:hAnsi="Verdana" w:cs="Arial"/>
          <w:bCs/>
          <w:sz w:val="20"/>
          <w:szCs w:val="20"/>
        </w:rPr>
      </w:pPr>
    </w:p>
    <w:p w14:paraId="21187421" w14:textId="6D015242" w:rsidR="00EF7A3A" w:rsidRPr="00EF7A3A" w:rsidRDefault="002B3025" w:rsidP="00551D66">
      <w:pPr>
        <w:pStyle w:val="Prrafodelista"/>
        <w:numPr>
          <w:ilvl w:val="0"/>
          <w:numId w:val="50"/>
        </w:numPr>
        <w:spacing w:after="0" w:line="240" w:lineRule="exact"/>
        <w:ind w:left="1134" w:hanging="567"/>
        <w:jc w:val="both"/>
        <w:rPr>
          <w:rFonts w:ascii="Verdana" w:eastAsia="Arial" w:hAnsi="Verdana" w:cs="Arial"/>
          <w:sz w:val="20"/>
          <w:szCs w:val="20"/>
        </w:rPr>
      </w:pPr>
      <w:r w:rsidRPr="00EF7A3A">
        <w:rPr>
          <w:rFonts w:ascii="Verdana" w:eastAsia="Arial" w:hAnsi="Verdana" w:cs="Arial"/>
          <w:bCs/>
          <w:sz w:val="20"/>
          <w:szCs w:val="20"/>
        </w:rPr>
        <w:t>Utilizar métodos cuantitativos para determinar el comportamiento de las fechas de revisión de precios y el perfil de los flujos de efectivo de los NMD. No obstante, la determinación de los supuestos en la modelación puede complementarse a través del juicio experto de las áreas de gestión de riesgos, comercial y tesorería entre otras</w:t>
      </w:r>
      <w:r w:rsidR="00EF7A3A">
        <w:rPr>
          <w:rFonts w:ascii="Verdana" w:eastAsia="Arial" w:hAnsi="Verdana" w:cs="Arial"/>
          <w:bCs/>
          <w:sz w:val="20"/>
          <w:szCs w:val="20"/>
        </w:rPr>
        <w:t>.</w:t>
      </w:r>
    </w:p>
    <w:p w14:paraId="422BE364" w14:textId="77777777" w:rsidR="00EF7A3A" w:rsidRPr="00EF7A3A" w:rsidRDefault="00EF7A3A" w:rsidP="00EF7A3A">
      <w:pPr>
        <w:pStyle w:val="Prrafodelista"/>
        <w:rPr>
          <w:rFonts w:ascii="Verdana" w:eastAsia="Arial" w:hAnsi="Verdana" w:cs="Arial"/>
          <w:bCs/>
          <w:sz w:val="20"/>
          <w:szCs w:val="20"/>
        </w:rPr>
      </w:pPr>
    </w:p>
    <w:p w14:paraId="4AF94DFE" w14:textId="46B2A627" w:rsidR="002B3025" w:rsidRPr="00EF7A3A" w:rsidRDefault="002B3025" w:rsidP="00551D66">
      <w:pPr>
        <w:pStyle w:val="Prrafodelista"/>
        <w:numPr>
          <w:ilvl w:val="0"/>
          <w:numId w:val="50"/>
        </w:numPr>
        <w:spacing w:after="0" w:line="240" w:lineRule="exact"/>
        <w:ind w:left="1134" w:hanging="567"/>
        <w:jc w:val="both"/>
        <w:rPr>
          <w:rFonts w:ascii="Verdana" w:eastAsia="Arial" w:hAnsi="Verdana" w:cs="Arial"/>
          <w:sz w:val="20"/>
          <w:szCs w:val="20"/>
        </w:rPr>
      </w:pPr>
      <w:r w:rsidRPr="00EF7A3A">
        <w:rPr>
          <w:rFonts w:ascii="Verdana" w:eastAsia="Arial" w:hAnsi="Verdana" w:cs="Arial"/>
          <w:bCs/>
          <w:sz w:val="20"/>
          <w:szCs w:val="20"/>
        </w:rPr>
        <w:t xml:space="preserve">Documentar de forma apropiada estos supuestos en sus políticas y procedimientos, y formalizar un proceso para mantenerlos en revisión, incluyendo prueba de estrés para comprender la sensibilidad de las medidas de riesgo a los cambios en los supuestos clave y su impacto en las decisiones internas de </w:t>
      </w:r>
      <w:r w:rsidR="003F7FE2">
        <w:rPr>
          <w:rFonts w:ascii="Verdana" w:eastAsia="Arial" w:hAnsi="Verdana" w:cs="Arial"/>
          <w:bCs/>
          <w:sz w:val="20"/>
          <w:szCs w:val="20"/>
        </w:rPr>
        <w:t>auto</w:t>
      </w:r>
      <w:r w:rsidRPr="00EF7A3A">
        <w:rPr>
          <w:rFonts w:ascii="Verdana" w:eastAsia="Arial" w:hAnsi="Verdana" w:cs="Arial"/>
          <w:bCs/>
          <w:sz w:val="20"/>
          <w:szCs w:val="20"/>
        </w:rPr>
        <w:t>evaluación de capital. Esto último mediante el cálculo periódico de análisis de sensibilidad sobre parámetros clave, por ejemplo: porcentaje y límite máximo al vencimiento y tasa de traspaso de los saldos básicos en las cuentas NMD, así como la adopción de medidas que utilizan términos contractuales para aislar el impacto de los supuestos comportamentales tanto para el VEP como para el MNI.</w:t>
      </w:r>
    </w:p>
    <w:p w14:paraId="60510359" w14:textId="77777777" w:rsidR="009857A5" w:rsidRDefault="009857A5" w:rsidP="009857A5">
      <w:pPr>
        <w:tabs>
          <w:tab w:val="left" w:pos="284"/>
        </w:tabs>
        <w:spacing w:after="0" w:line="240" w:lineRule="auto"/>
        <w:jc w:val="both"/>
        <w:rPr>
          <w:rFonts w:ascii="Verdana" w:eastAsia="Arial" w:hAnsi="Verdana" w:cs="Arial"/>
          <w:bCs/>
          <w:sz w:val="20"/>
          <w:szCs w:val="20"/>
        </w:rPr>
      </w:pPr>
    </w:p>
    <w:p w14:paraId="55F4ABBC" w14:textId="56D84C26" w:rsidR="002B3025" w:rsidRDefault="002B3025" w:rsidP="008416B1">
      <w:pPr>
        <w:tabs>
          <w:tab w:val="left" w:pos="284"/>
        </w:tabs>
        <w:spacing w:after="0" w:line="240" w:lineRule="auto"/>
        <w:jc w:val="both"/>
        <w:rPr>
          <w:rFonts w:ascii="Verdana" w:hAnsi="Verdana" w:cs="Arial"/>
          <w:b/>
          <w:sz w:val="20"/>
          <w:szCs w:val="20"/>
        </w:rPr>
      </w:pPr>
      <w:r w:rsidRPr="009857A5">
        <w:rPr>
          <w:rFonts w:ascii="Verdana" w:hAnsi="Verdana" w:cs="Arial"/>
          <w:b/>
          <w:sz w:val="20"/>
          <w:szCs w:val="20"/>
        </w:rPr>
        <w:t>Revelación contable</w:t>
      </w:r>
    </w:p>
    <w:p w14:paraId="495369FF" w14:textId="77777777" w:rsidR="008416B1" w:rsidRPr="008416B1" w:rsidRDefault="008416B1" w:rsidP="008416B1">
      <w:pPr>
        <w:tabs>
          <w:tab w:val="left" w:pos="284"/>
        </w:tabs>
        <w:spacing w:after="0" w:line="240" w:lineRule="auto"/>
        <w:jc w:val="both"/>
        <w:rPr>
          <w:rFonts w:ascii="Verdana" w:hAnsi="Verdana" w:cs="Arial"/>
          <w:b/>
          <w:sz w:val="20"/>
          <w:szCs w:val="20"/>
        </w:rPr>
      </w:pPr>
    </w:p>
    <w:p w14:paraId="5FEF3970" w14:textId="4A2E818E" w:rsidR="009857A5" w:rsidRPr="001C6CAB" w:rsidRDefault="009857A5" w:rsidP="009857A5">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3F5401">
        <w:rPr>
          <w:rFonts w:ascii="Verdana" w:hAnsi="Verdana"/>
          <w:sz w:val="20"/>
          <w:szCs w:val="20"/>
        </w:rPr>
        <w:t>48</w:t>
      </w:r>
      <w:r w:rsidRPr="001C6CAB">
        <w:rPr>
          <w:rFonts w:ascii="Verdana" w:hAnsi="Verdana"/>
          <w:sz w:val="20"/>
          <w:szCs w:val="20"/>
        </w:rPr>
        <w:t>.</w:t>
      </w:r>
    </w:p>
    <w:p w14:paraId="44112311" w14:textId="6A0E0833" w:rsidR="002B3025" w:rsidRPr="002B3025" w:rsidRDefault="002B3025" w:rsidP="00B929BB">
      <w:pPr>
        <w:jc w:val="both"/>
        <w:rPr>
          <w:rFonts w:ascii="Verdana" w:hAnsi="Verdana" w:cs="Arial"/>
          <w:bCs/>
          <w:sz w:val="20"/>
          <w:szCs w:val="20"/>
          <w:lang w:val="es-MX"/>
        </w:rPr>
      </w:pPr>
      <w:r w:rsidRPr="002B3025">
        <w:rPr>
          <w:rFonts w:ascii="Verdana" w:hAnsi="Verdana" w:cs="Arial"/>
          <w:bCs/>
          <w:sz w:val="20"/>
          <w:szCs w:val="20"/>
          <w:lang w:val="es-MX"/>
        </w:rPr>
        <w:t xml:space="preserve">La entidad debe presentar en las notas a los estados financieros un resumen de la exposición al RTILB, acorde con los </w:t>
      </w:r>
      <w:r w:rsidRPr="00D661A8">
        <w:rPr>
          <w:rFonts w:ascii="Verdana" w:hAnsi="Verdana" w:cs="Arial"/>
          <w:bCs/>
          <w:sz w:val="20"/>
          <w:szCs w:val="20"/>
          <w:lang w:val="es-MX"/>
        </w:rPr>
        <w:t xml:space="preserve">requisitos de revelación de información externa previstos en el </w:t>
      </w:r>
      <w:r w:rsidR="00D661A8" w:rsidRPr="00D661A8">
        <w:rPr>
          <w:rFonts w:ascii="Verdana" w:hAnsi="Verdana" w:cs="Arial"/>
          <w:bCs/>
          <w:sz w:val="20"/>
          <w:szCs w:val="20"/>
          <w:lang w:val="es-MX"/>
        </w:rPr>
        <w:t xml:space="preserve">párrafo 1.1.2.368. de la </w:t>
      </w:r>
      <w:r w:rsidR="006317A5">
        <w:rPr>
          <w:rFonts w:ascii="Verdana" w:hAnsi="Verdana" w:cs="Arial"/>
          <w:bCs/>
          <w:sz w:val="20"/>
          <w:szCs w:val="20"/>
          <w:lang w:val="es-MX"/>
        </w:rPr>
        <w:t>CBF</w:t>
      </w:r>
      <w:r w:rsidR="00D661A8" w:rsidRPr="00D661A8">
        <w:rPr>
          <w:rFonts w:ascii="Verdana" w:hAnsi="Verdana" w:cs="Arial"/>
          <w:bCs/>
          <w:sz w:val="20"/>
          <w:szCs w:val="20"/>
          <w:lang w:val="es-MX"/>
        </w:rPr>
        <w:t xml:space="preserve">. </w:t>
      </w:r>
    </w:p>
    <w:p w14:paraId="704B3AA5" w14:textId="3D55636A" w:rsidR="002B3025" w:rsidRDefault="002B3025" w:rsidP="008416B1">
      <w:pPr>
        <w:tabs>
          <w:tab w:val="left" w:pos="0"/>
        </w:tabs>
        <w:spacing w:after="0" w:line="240" w:lineRule="auto"/>
        <w:jc w:val="both"/>
        <w:rPr>
          <w:rFonts w:ascii="Verdana" w:hAnsi="Verdana" w:cs="Arial"/>
          <w:b/>
          <w:sz w:val="20"/>
          <w:szCs w:val="20"/>
        </w:rPr>
      </w:pPr>
      <w:r w:rsidRPr="00650688">
        <w:rPr>
          <w:rFonts w:ascii="Verdana" w:hAnsi="Verdana" w:cs="Arial"/>
          <w:b/>
          <w:sz w:val="20"/>
          <w:szCs w:val="20"/>
        </w:rPr>
        <w:t>Reportes a la SFC</w:t>
      </w:r>
    </w:p>
    <w:p w14:paraId="43FF3842" w14:textId="77777777" w:rsidR="008416B1" w:rsidRPr="008416B1" w:rsidRDefault="008416B1" w:rsidP="008416B1">
      <w:pPr>
        <w:tabs>
          <w:tab w:val="left" w:pos="0"/>
        </w:tabs>
        <w:spacing w:after="0" w:line="240" w:lineRule="auto"/>
        <w:jc w:val="both"/>
        <w:rPr>
          <w:rFonts w:ascii="Verdana" w:hAnsi="Verdana" w:cs="Arial"/>
          <w:b/>
          <w:sz w:val="20"/>
          <w:szCs w:val="20"/>
        </w:rPr>
      </w:pPr>
    </w:p>
    <w:p w14:paraId="7F716BBD" w14:textId="54DFB47D" w:rsidR="00650688" w:rsidRPr="001C6CAB" w:rsidRDefault="00650688" w:rsidP="00650688">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3F5401">
        <w:rPr>
          <w:rFonts w:ascii="Verdana" w:hAnsi="Verdana"/>
          <w:sz w:val="20"/>
          <w:szCs w:val="20"/>
        </w:rPr>
        <w:t>49</w:t>
      </w:r>
      <w:r w:rsidRPr="001C6CAB">
        <w:rPr>
          <w:rFonts w:ascii="Verdana" w:hAnsi="Verdana"/>
          <w:sz w:val="20"/>
          <w:szCs w:val="20"/>
        </w:rPr>
        <w:t>.</w:t>
      </w:r>
    </w:p>
    <w:p w14:paraId="1115C57A" w14:textId="662D2A28" w:rsidR="002B3025" w:rsidRPr="002B3025" w:rsidRDefault="002B3025" w:rsidP="12B437D6">
      <w:pPr>
        <w:jc w:val="both"/>
        <w:rPr>
          <w:rFonts w:ascii="Verdana" w:hAnsi="Verdana" w:cs="Arial"/>
          <w:sz w:val="20"/>
          <w:szCs w:val="20"/>
        </w:rPr>
      </w:pPr>
      <w:r w:rsidRPr="12B437D6">
        <w:rPr>
          <w:rFonts w:ascii="Verdana" w:hAnsi="Verdana" w:cs="Arial"/>
          <w:sz w:val="20"/>
          <w:szCs w:val="20"/>
        </w:rPr>
        <w:t xml:space="preserve">Los resultados de la medición del RTILB y RSCLB deben reportarse a la SFC en las proformas </w:t>
      </w:r>
      <w:r w:rsidR="00D661A8">
        <w:rPr>
          <w:rFonts w:ascii="Verdana" w:hAnsi="Verdana" w:cs="Arial"/>
          <w:sz w:val="20"/>
          <w:szCs w:val="20"/>
        </w:rPr>
        <w:t>(</w:t>
      </w:r>
      <w:r w:rsidRPr="12B437D6">
        <w:rPr>
          <w:rFonts w:ascii="Verdana" w:hAnsi="Verdana" w:cs="Arial"/>
          <w:sz w:val="20"/>
          <w:szCs w:val="20"/>
        </w:rPr>
        <w:t>i) “Mapeo de los flujos en las bandas de tiempo para los instrumentos sensibles al RTILB”</w:t>
      </w:r>
      <w:r w:rsidR="00D661A8">
        <w:rPr>
          <w:rFonts w:ascii="Verdana" w:hAnsi="Verdana" w:cs="Arial"/>
          <w:sz w:val="20"/>
          <w:szCs w:val="20"/>
        </w:rPr>
        <w:t>;</w:t>
      </w:r>
      <w:r w:rsidRPr="12B437D6">
        <w:rPr>
          <w:rFonts w:ascii="Verdana" w:hAnsi="Verdana" w:cs="Arial"/>
          <w:sz w:val="20"/>
          <w:szCs w:val="20"/>
        </w:rPr>
        <w:t xml:space="preserve"> y </w:t>
      </w:r>
      <w:r w:rsidR="00D661A8">
        <w:rPr>
          <w:rFonts w:ascii="Verdana" w:hAnsi="Verdana" w:cs="Arial"/>
          <w:sz w:val="20"/>
          <w:szCs w:val="20"/>
        </w:rPr>
        <w:t>(</w:t>
      </w:r>
      <w:r w:rsidRPr="12B437D6">
        <w:rPr>
          <w:rFonts w:ascii="Verdana" w:hAnsi="Verdana" w:cs="Arial"/>
          <w:sz w:val="20"/>
          <w:szCs w:val="20"/>
        </w:rPr>
        <w:t>ii) “Escenarios de choques de tasas de interés para el Valor Económico del Patrimonio (VEP) y el Margen Neto de Intereses (MNI)” previstos para este propósito.</w:t>
      </w:r>
    </w:p>
    <w:p w14:paraId="6BE0E796" w14:textId="2EB2FA3F" w:rsidR="00A9762A" w:rsidRPr="001C6CAB" w:rsidRDefault="00A9762A" w:rsidP="00A9762A">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3F5401">
        <w:rPr>
          <w:rFonts w:ascii="Verdana" w:hAnsi="Verdana"/>
          <w:sz w:val="20"/>
          <w:szCs w:val="20"/>
        </w:rPr>
        <w:t>50</w:t>
      </w:r>
      <w:r w:rsidRPr="001C6CAB">
        <w:rPr>
          <w:rFonts w:ascii="Verdana" w:hAnsi="Verdana"/>
          <w:sz w:val="20"/>
          <w:szCs w:val="20"/>
        </w:rPr>
        <w:t>.</w:t>
      </w:r>
    </w:p>
    <w:p w14:paraId="09CF1667" w14:textId="60D8340A" w:rsidR="002B3025" w:rsidRPr="002B3025" w:rsidRDefault="002B3025" w:rsidP="00B929BB">
      <w:pPr>
        <w:autoSpaceDE w:val="0"/>
        <w:autoSpaceDN w:val="0"/>
        <w:adjustRightInd w:val="0"/>
        <w:jc w:val="both"/>
        <w:rPr>
          <w:rFonts w:ascii="Verdana" w:hAnsi="Verdana" w:cs="Arial"/>
          <w:bCs/>
          <w:sz w:val="20"/>
          <w:szCs w:val="20"/>
        </w:rPr>
      </w:pPr>
      <w:r w:rsidRPr="002B3025">
        <w:rPr>
          <w:rFonts w:ascii="Verdana" w:hAnsi="Verdana" w:cs="Arial"/>
          <w:bCs/>
          <w:sz w:val="20"/>
          <w:szCs w:val="20"/>
        </w:rPr>
        <w:t>Adicionalmente y con el fin de proveer una descripción de los objetivos y políticas relativas a la gestión del RTILB, las entidades deben remitir a la SFC un informe cualitativo al corte de diciembre de cada año, en la misma fecha de reporte establecida para la transmisión de</w:t>
      </w:r>
      <w:r w:rsidR="00AB7D88">
        <w:rPr>
          <w:rFonts w:ascii="Verdana" w:hAnsi="Verdana" w:cs="Arial"/>
          <w:bCs/>
          <w:sz w:val="20"/>
          <w:szCs w:val="20"/>
        </w:rPr>
        <w:t xml:space="preserve"> </w:t>
      </w:r>
      <w:r w:rsidRPr="002B3025">
        <w:rPr>
          <w:rFonts w:ascii="Verdana" w:hAnsi="Verdana" w:cs="Arial"/>
          <w:bCs/>
          <w:sz w:val="20"/>
          <w:szCs w:val="20"/>
        </w:rPr>
        <w:t>l</w:t>
      </w:r>
      <w:r w:rsidR="00F65149">
        <w:rPr>
          <w:rFonts w:ascii="Verdana" w:hAnsi="Verdana" w:cs="Arial"/>
          <w:bCs/>
          <w:sz w:val="20"/>
          <w:szCs w:val="20"/>
        </w:rPr>
        <w:t>a información financiera del</w:t>
      </w:r>
      <w:r w:rsidRPr="002B3025">
        <w:rPr>
          <w:rFonts w:ascii="Verdana" w:hAnsi="Verdana" w:cs="Arial"/>
          <w:bCs/>
          <w:sz w:val="20"/>
          <w:szCs w:val="20"/>
        </w:rPr>
        <w:t xml:space="preserve"> Catálogo Único de Información Financiera (CUIF) individual y consolidado. </w:t>
      </w:r>
    </w:p>
    <w:p w14:paraId="494598E7" w14:textId="0AA95A67" w:rsidR="00D52CAA" w:rsidRPr="001C6CAB" w:rsidRDefault="00D52CAA" w:rsidP="00D52CAA">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3F5401">
        <w:rPr>
          <w:rFonts w:ascii="Verdana" w:hAnsi="Verdana"/>
          <w:sz w:val="20"/>
          <w:szCs w:val="20"/>
        </w:rPr>
        <w:t>51</w:t>
      </w:r>
      <w:r w:rsidRPr="001C6CAB">
        <w:rPr>
          <w:rFonts w:ascii="Verdana" w:hAnsi="Verdana"/>
          <w:sz w:val="20"/>
          <w:szCs w:val="20"/>
        </w:rPr>
        <w:t>.</w:t>
      </w:r>
    </w:p>
    <w:p w14:paraId="20109C79" w14:textId="77777777" w:rsidR="002B3025" w:rsidRPr="002B3025" w:rsidRDefault="002B3025" w:rsidP="00B929BB">
      <w:pPr>
        <w:autoSpaceDE w:val="0"/>
        <w:autoSpaceDN w:val="0"/>
        <w:adjustRightInd w:val="0"/>
        <w:jc w:val="both"/>
        <w:rPr>
          <w:rFonts w:ascii="Verdana" w:hAnsi="Verdana" w:cs="Arial"/>
          <w:bCs/>
          <w:sz w:val="20"/>
          <w:szCs w:val="20"/>
        </w:rPr>
      </w:pPr>
      <w:r w:rsidRPr="002B3025">
        <w:rPr>
          <w:rFonts w:ascii="Verdana" w:hAnsi="Verdana" w:cs="Arial"/>
          <w:bCs/>
          <w:sz w:val="20"/>
          <w:szCs w:val="20"/>
        </w:rPr>
        <w:t xml:space="preserve">El informe cualitativo se debe reportar a las áreas responsables de la gestión del riesgo y debe incluir el análisis de la información que se deriva de las proformas del mapeo de los flujos y de los choques de tasas. Dicho documento debe presentarse en formato PDF, tener una extensión máxima de 30 hojas y contener como mínimo la siguiente estructura: </w:t>
      </w:r>
    </w:p>
    <w:p w14:paraId="2D4D51CE" w14:textId="1015EF5B" w:rsidR="0067462B" w:rsidRDefault="002B3025" w:rsidP="00551D66">
      <w:pPr>
        <w:pStyle w:val="Prrafodelista"/>
        <w:numPr>
          <w:ilvl w:val="0"/>
          <w:numId w:val="51"/>
        </w:numPr>
        <w:autoSpaceDE w:val="0"/>
        <w:autoSpaceDN w:val="0"/>
        <w:adjustRightInd w:val="0"/>
        <w:spacing w:after="0" w:line="240" w:lineRule="auto"/>
        <w:ind w:left="567" w:hanging="567"/>
        <w:jc w:val="both"/>
        <w:rPr>
          <w:rFonts w:ascii="Verdana" w:hAnsi="Verdana" w:cs="Arial"/>
          <w:bCs/>
          <w:sz w:val="20"/>
          <w:szCs w:val="20"/>
        </w:rPr>
      </w:pPr>
      <w:r w:rsidRPr="0067462B">
        <w:rPr>
          <w:rFonts w:ascii="Verdana" w:hAnsi="Verdana" w:cs="Arial"/>
          <w:bCs/>
          <w:sz w:val="20"/>
          <w:szCs w:val="20"/>
        </w:rPr>
        <w:t xml:space="preserve">Resumen </w:t>
      </w:r>
      <w:r w:rsidR="00D661A8">
        <w:rPr>
          <w:rFonts w:ascii="Verdana" w:hAnsi="Verdana" w:cs="Arial"/>
          <w:bCs/>
          <w:sz w:val="20"/>
          <w:szCs w:val="20"/>
        </w:rPr>
        <w:t>e</w:t>
      </w:r>
      <w:r w:rsidRPr="0067462B">
        <w:rPr>
          <w:rFonts w:ascii="Verdana" w:hAnsi="Verdana" w:cs="Arial"/>
          <w:bCs/>
          <w:sz w:val="20"/>
          <w:szCs w:val="20"/>
        </w:rPr>
        <w:t xml:space="preserve">jecutivo: </w:t>
      </w:r>
      <w:r w:rsidR="00D661A8">
        <w:rPr>
          <w:rFonts w:ascii="Verdana" w:hAnsi="Verdana" w:cs="Arial"/>
          <w:bCs/>
          <w:sz w:val="20"/>
          <w:szCs w:val="20"/>
        </w:rPr>
        <w:t>e</w:t>
      </w:r>
      <w:r w:rsidRPr="0067462B">
        <w:rPr>
          <w:rFonts w:ascii="Verdana" w:hAnsi="Verdana" w:cs="Arial"/>
          <w:bCs/>
          <w:sz w:val="20"/>
          <w:szCs w:val="20"/>
        </w:rPr>
        <w:t xml:space="preserve">sta sección debe incluir la descripción general de cómo la entidad define el RTILB para propósitos de medición y control de riesgo, sintetizar </w:t>
      </w:r>
      <w:r w:rsidRPr="0067462B">
        <w:rPr>
          <w:rFonts w:ascii="Verdana" w:hAnsi="Verdana" w:cs="Arial"/>
          <w:bCs/>
          <w:sz w:val="20"/>
          <w:szCs w:val="20"/>
        </w:rPr>
        <w:lastRenderedPageBreak/>
        <w:t xml:space="preserve">los principales resultados del cálculo y explicar la gestión e impacto de este riesgo y cómo se integra en los procesos de la entidad, incluidos los procesos internos de gestión de riesgos, del área comercial y </w:t>
      </w:r>
      <w:r w:rsidR="008A7A3B">
        <w:rPr>
          <w:rFonts w:ascii="Verdana" w:hAnsi="Verdana" w:cs="Arial"/>
          <w:bCs/>
          <w:sz w:val="20"/>
          <w:szCs w:val="20"/>
        </w:rPr>
        <w:t xml:space="preserve">de </w:t>
      </w:r>
      <w:r w:rsidRPr="0067462B">
        <w:rPr>
          <w:rFonts w:ascii="Verdana" w:hAnsi="Verdana" w:cs="Arial"/>
          <w:bCs/>
          <w:sz w:val="20"/>
          <w:szCs w:val="20"/>
        </w:rPr>
        <w:t xml:space="preserve">la </w:t>
      </w:r>
      <w:r w:rsidR="008A7A3B">
        <w:rPr>
          <w:rFonts w:ascii="Verdana" w:hAnsi="Verdana" w:cs="Arial"/>
          <w:bCs/>
          <w:sz w:val="20"/>
          <w:szCs w:val="20"/>
        </w:rPr>
        <w:t>a</w:t>
      </w:r>
      <w:r w:rsidR="00B908D2">
        <w:rPr>
          <w:rFonts w:ascii="Verdana" w:hAnsi="Verdana" w:cs="Arial"/>
          <w:bCs/>
          <w:sz w:val="20"/>
          <w:szCs w:val="20"/>
        </w:rPr>
        <w:t>uto</w:t>
      </w:r>
      <w:r w:rsidRPr="0067462B">
        <w:rPr>
          <w:rFonts w:ascii="Verdana" w:hAnsi="Verdana" w:cs="Arial"/>
          <w:bCs/>
          <w:sz w:val="20"/>
          <w:szCs w:val="20"/>
        </w:rPr>
        <w:t xml:space="preserve">evaluación </w:t>
      </w:r>
      <w:r w:rsidR="00B908D2">
        <w:rPr>
          <w:rFonts w:ascii="Verdana" w:hAnsi="Verdana" w:cs="Arial"/>
          <w:bCs/>
          <w:sz w:val="20"/>
          <w:szCs w:val="20"/>
        </w:rPr>
        <w:t>d</w:t>
      </w:r>
      <w:r w:rsidRPr="0067462B">
        <w:rPr>
          <w:rFonts w:ascii="Verdana" w:hAnsi="Verdana" w:cs="Arial"/>
          <w:bCs/>
          <w:sz w:val="20"/>
          <w:szCs w:val="20"/>
        </w:rPr>
        <w:t>e capital.</w:t>
      </w:r>
    </w:p>
    <w:p w14:paraId="0814867D" w14:textId="77777777" w:rsidR="0067462B" w:rsidRDefault="0067462B" w:rsidP="0067462B">
      <w:pPr>
        <w:pStyle w:val="Prrafodelista"/>
        <w:autoSpaceDE w:val="0"/>
        <w:autoSpaceDN w:val="0"/>
        <w:adjustRightInd w:val="0"/>
        <w:spacing w:after="0" w:line="240" w:lineRule="auto"/>
        <w:ind w:left="567"/>
        <w:jc w:val="both"/>
        <w:rPr>
          <w:rFonts w:ascii="Verdana" w:hAnsi="Verdana" w:cs="Arial"/>
          <w:bCs/>
          <w:sz w:val="20"/>
          <w:szCs w:val="20"/>
        </w:rPr>
      </w:pPr>
    </w:p>
    <w:p w14:paraId="3C3DE86F" w14:textId="34652B0F" w:rsidR="0067462B" w:rsidRDefault="002B3025" w:rsidP="00551D66">
      <w:pPr>
        <w:pStyle w:val="Prrafodelista"/>
        <w:numPr>
          <w:ilvl w:val="0"/>
          <w:numId w:val="51"/>
        </w:numPr>
        <w:autoSpaceDE w:val="0"/>
        <w:autoSpaceDN w:val="0"/>
        <w:adjustRightInd w:val="0"/>
        <w:spacing w:after="0" w:line="240" w:lineRule="auto"/>
        <w:ind w:left="567" w:hanging="567"/>
        <w:jc w:val="both"/>
        <w:rPr>
          <w:rFonts w:ascii="Verdana" w:hAnsi="Verdana" w:cs="Arial"/>
          <w:bCs/>
          <w:sz w:val="20"/>
          <w:szCs w:val="20"/>
        </w:rPr>
      </w:pPr>
      <w:r w:rsidRPr="0067462B">
        <w:rPr>
          <w:rFonts w:ascii="Verdana" w:hAnsi="Verdana" w:cs="Arial"/>
          <w:bCs/>
          <w:sz w:val="20"/>
          <w:szCs w:val="20"/>
        </w:rPr>
        <w:t xml:space="preserve">Gestión del RTILB: </w:t>
      </w:r>
      <w:r w:rsidR="00D661A8">
        <w:rPr>
          <w:rFonts w:ascii="Verdana" w:hAnsi="Verdana" w:cs="Arial"/>
          <w:bCs/>
          <w:sz w:val="20"/>
          <w:szCs w:val="20"/>
        </w:rPr>
        <w:t>d</w:t>
      </w:r>
      <w:r w:rsidRPr="0067462B">
        <w:rPr>
          <w:rFonts w:ascii="Verdana" w:hAnsi="Verdana" w:cs="Arial"/>
          <w:bCs/>
          <w:sz w:val="20"/>
          <w:szCs w:val="20"/>
        </w:rPr>
        <w:t>ebe presentar una descripción de la administración global del RTILB y de las estrategias de cobertura adoptadas para mitigar el riesgo de la entidad, incluyendo por ejemplo: el monitoreo del ∆VEP y el ∆MNI, el cumplimiento de límites establecidos, las metodologías e instrumentos de cobertura asignados, el resultado de las pruebas de estrés, el rol del área de control de riesgos y/o del comité de riesgos, el rol de la auditoría interna y de la auditoría independiente y/o experto independiente.</w:t>
      </w:r>
    </w:p>
    <w:p w14:paraId="2E0AB64E" w14:textId="77777777" w:rsidR="0067462B" w:rsidRPr="0067462B" w:rsidRDefault="0067462B" w:rsidP="0067462B">
      <w:pPr>
        <w:pStyle w:val="Prrafodelista"/>
        <w:rPr>
          <w:rFonts w:ascii="Verdana" w:hAnsi="Verdana" w:cs="Arial"/>
          <w:bCs/>
          <w:sz w:val="20"/>
          <w:szCs w:val="20"/>
        </w:rPr>
      </w:pPr>
    </w:p>
    <w:p w14:paraId="25AE76DB" w14:textId="77777777" w:rsidR="0067462B" w:rsidRDefault="002B3025" w:rsidP="00551D66">
      <w:pPr>
        <w:pStyle w:val="Prrafodelista"/>
        <w:numPr>
          <w:ilvl w:val="0"/>
          <w:numId w:val="51"/>
        </w:numPr>
        <w:autoSpaceDE w:val="0"/>
        <w:autoSpaceDN w:val="0"/>
        <w:adjustRightInd w:val="0"/>
        <w:spacing w:after="0" w:line="240" w:lineRule="auto"/>
        <w:ind w:left="567" w:hanging="567"/>
        <w:jc w:val="both"/>
        <w:rPr>
          <w:rFonts w:ascii="Verdana" w:hAnsi="Verdana" w:cs="Arial"/>
          <w:bCs/>
          <w:sz w:val="20"/>
          <w:szCs w:val="20"/>
        </w:rPr>
      </w:pPr>
      <w:r w:rsidRPr="0067462B">
        <w:rPr>
          <w:rFonts w:ascii="Verdana" w:hAnsi="Verdana" w:cs="Arial"/>
          <w:bCs/>
          <w:sz w:val="20"/>
          <w:szCs w:val="20"/>
        </w:rPr>
        <w:t>Los resultados del cálculo de los choques en el MNI y el VEP, resaltando la evolución del mapeo de los flujos y de los choques en lo corrido del año.</w:t>
      </w:r>
    </w:p>
    <w:p w14:paraId="31127492" w14:textId="77777777" w:rsidR="0067462B" w:rsidRPr="0067462B" w:rsidRDefault="0067462B" w:rsidP="0067462B">
      <w:pPr>
        <w:pStyle w:val="Prrafodelista"/>
        <w:rPr>
          <w:rFonts w:ascii="Verdana" w:hAnsi="Verdana" w:cs="Arial"/>
          <w:bCs/>
          <w:sz w:val="20"/>
          <w:szCs w:val="20"/>
        </w:rPr>
      </w:pPr>
    </w:p>
    <w:p w14:paraId="35B76654" w14:textId="77777777" w:rsidR="0067462B" w:rsidRDefault="002B3025" w:rsidP="00551D66">
      <w:pPr>
        <w:pStyle w:val="Prrafodelista"/>
        <w:numPr>
          <w:ilvl w:val="0"/>
          <w:numId w:val="51"/>
        </w:numPr>
        <w:autoSpaceDE w:val="0"/>
        <w:autoSpaceDN w:val="0"/>
        <w:adjustRightInd w:val="0"/>
        <w:spacing w:after="0" w:line="240" w:lineRule="auto"/>
        <w:ind w:left="567" w:hanging="567"/>
        <w:jc w:val="both"/>
        <w:rPr>
          <w:rFonts w:ascii="Verdana" w:hAnsi="Verdana" w:cs="Arial"/>
          <w:bCs/>
          <w:sz w:val="20"/>
          <w:szCs w:val="20"/>
        </w:rPr>
      </w:pPr>
      <w:r w:rsidRPr="0067462B">
        <w:rPr>
          <w:rFonts w:ascii="Verdana" w:hAnsi="Verdana" w:cs="Arial"/>
          <w:bCs/>
          <w:sz w:val="20"/>
          <w:szCs w:val="20"/>
        </w:rPr>
        <w:t>El resultado del análisis de sensibilidad realizado por la entidad a las principales variables de riesgo, de acuerdo con su modelo de negocio.</w:t>
      </w:r>
    </w:p>
    <w:p w14:paraId="57DD6FF8" w14:textId="77777777" w:rsidR="0067462B" w:rsidRPr="0067462B" w:rsidRDefault="0067462B" w:rsidP="0067462B">
      <w:pPr>
        <w:pStyle w:val="Prrafodelista"/>
        <w:rPr>
          <w:rFonts w:ascii="Verdana" w:hAnsi="Verdana" w:cs="Arial"/>
          <w:bCs/>
          <w:sz w:val="20"/>
          <w:szCs w:val="20"/>
        </w:rPr>
      </w:pPr>
    </w:p>
    <w:p w14:paraId="4FF5AA05" w14:textId="77777777" w:rsidR="0067462B" w:rsidRDefault="002B3025" w:rsidP="00551D66">
      <w:pPr>
        <w:pStyle w:val="Prrafodelista"/>
        <w:numPr>
          <w:ilvl w:val="0"/>
          <w:numId w:val="51"/>
        </w:numPr>
        <w:autoSpaceDE w:val="0"/>
        <w:autoSpaceDN w:val="0"/>
        <w:adjustRightInd w:val="0"/>
        <w:spacing w:after="0" w:line="240" w:lineRule="auto"/>
        <w:ind w:left="567" w:hanging="567"/>
        <w:jc w:val="both"/>
        <w:rPr>
          <w:rFonts w:ascii="Verdana" w:hAnsi="Verdana" w:cs="Arial"/>
          <w:bCs/>
          <w:sz w:val="20"/>
          <w:szCs w:val="20"/>
        </w:rPr>
      </w:pPr>
      <w:r w:rsidRPr="0067462B">
        <w:rPr>
          <w:rFonts w:ascii="Verdana" w:hAnsi="Verdana" w:cs="Arial"/>
          <w:bCs/>
          <w:sz w:val="20"/>
          <w:szCs w:val="20"/>
        </w:rPr>
        <w:t>Técnicas de modelación del RTILB utilizadas y resultados.</w:t>
      </w:r>
    </w:p>
    <w:p w14:paraId="1E885DAE" w14:textId="77777777" w:rsidR="0067462B" w:rsidRPr="0067462B" w:rsidRDefault="0067462B" w:rsidP="0067462B">
      <w:pPr>
        <w:pStyle w:val="Prrafodelista"/>
        <w:rPr>
          <w:rFonts w:ascii="Verdana" w:hAnsi="Verdana" w:cs="Arial"/>
          <w:bCs/>
          <w:sz w:val="20"/>
          <w:szCs w:val="20"/>
        </w:rPr>
      </w:pPr>
    </w:p>
    <w:p w14:paraId="7A86331F" w14:textId="77777777" w:rsidR="0067462B" w:rsidRDefault="002B3025" w:rsidP="00551D66">
      <w:pPr>
        <w:pStyle w:val="Prrafodelista"/>
        <w:numPr>
          <w:ilvl w:val="0"/>
          <w:numId w:val="51"/>
        </w:numPr>
        <w:autoSpaceDE w:val="0"/>
        <w:autoSpaceDN w:val="0"/>
        <w:adjustRightInd w:val="0"/>
        <w:spacing w:after="0" w:line="240" w:lineRule="auto"/>
        <w:ind w:left="567" w:hanging="567"/>
        <w:jc w:val="both"/>
        <w:rPr>
          <w:rFonts w:ascii="Verdana" w:hAnsi="Verdana" w:cs="Arial"/>
          <w:bCs/>
          <w:sz w:val="20"/>
          <w:szCs w:val="20"/>
        </w:rPr>
      </w:pPr>
      <w:r w:rsidRPr="0067462B">
        <w:rPr>
          <w:rFonts w:ascii="Verdana" w:hAnsi="Verdana" w:cs="Arial"/>
          <w:bCs/>
          <w:sz w:val="20"/>
          <w:szCs w:val="20"/>
        </w:rPr>
        <w:t>El impacto de las exclusiones o inclusiones de los márgenes comerciales y otros componentes del margen en el cálculo de los flujos de efectivo.</w:t>
      </w:r>
    </w:p>
    <w:p w14:paraId="0964189D" w14:textId="77777777" w:rsidR="0067462B" w:rsidRPr="0067462B" w:rsidRDefault="0067462B" w:rsidP="0067462B">
      <w:pPr>
        <w:pStyle w:val="Prrafodelista"/>
        <w:rPr>
          <w:rFonts w:ascii="Verdana" w:hAnsi="Verdana" w:cs="Arial"/>
          <w:bCs/>
          <w:sz w:val="20"/>
          <w:szCs w:val="20"/>
        </w:rPr>
      </w:pPr>
    </w:p>
    <w:p w14:paraId="6DBE508B" w14:textId="008E73D4" w:rsidR="002B3025" w:rsidRDefault="002B3025" w:rsidP="00551D66">
      <w:pPr>
        <w:pStyle w:val="Prrafodelista"/>
        <w:numPr>
          <w:ilvl w:val="0"/>
          <w:numId w:val="51"/>
        </w:numPr>
        <w:autoSpaceDE w:val="0"/>
        <w:autoSpaceDN w:val="0"/>
        <w:adjustRightInd w:val="0"/>
        <w:spacing w:after="0" w:line="240" w:lineRule="auto"/>
        <w:ind w:left="567" w:hanging="567"/>
        <w:jc w:val="both"/>
        <w:rPr>
          <w:rFonts w:ascii="Verdana" w:hAnsi="Verdana" w:cs="Arial"/>
          <w:bCs/>
          <w:sz w:val="20"/>
          <w:szCs w:val="20"/>
        </w:rPr>
      </w:pPr>
      <w:r w:rsidRPr="0067462B">
        <w:rPr>
          <w:rFonts w:ascii="Verdana" w:hAnsi="Verdana" w:cs="Arial"/>
          <w:bCs/>
          <w:sz w:val="20"/>
          <w:szCs w:val="20"/>
        </w:rPr>
        <w:t>Cualquier otra información que la entidad considere divulgar con respecto a su análisis de la importancia y sensibilidad de las medidas del RTILB y/o una explicación de cualquier variación significativa en el nivel del RTILB informado en los reportes cualitativos anteriores.</w:t>
      </w:r>
    </w:p>
    <w:p w14:paraId="7DF2FE21" w14:textId="77777777" w:rsidR="0067462B" w:rsidRPr="0067462B" w:rsidRDefault="0067462B" w:rsidP="0067462B">
      <w:pPr>
        <w:autoSpaceDE w:val="0"/>
        <w:autoSpaceDN w:val="0"/>
        <w:adjustRightInd w:val="0"/>
        <w:spacing w:after="0" w:line="240" w:lineRule="auto"/>
        <w:jc w:val="both"/>
        <w:rPr>
          <w:rFonts w:ascii="Verdana" w:hAnsi="Verdana" w:cs="Arial"/>
          <w:bCs/>
          <w:sz w:val="20"/>
          <w:szCs w:val="20"/>
        </w:rPr>
      </w:pPr>
    </w:p>
    <w:p w14:paraId="2471530B" w14:textId="0AB96C20" w:rsidR="005124FD" w:rsidRPr="001C6CAB" w:rsidRDefault="005124FD" w:rsidP="005124FD">
      <w:pPr>
        <w:spacing w:after="0"/>
        <w:rPr>
          <w:rFonts w:ascii="Verdana" w:hAnsi="Verdana"/>
          <w:sz w:val="20"/>
          <w:szCs w:val="20"/>
        </w:rPr>
      </w:pPr>
      <w:r w:rsidRPr="001C6CAB">
        <w:rPr>
          <w:rFonts w:ascii="Verdana" w:hAnsi="Verdana"/>
          <w:sz w:val="20"/>
          <w:szCs w:val="20"/>
        </w:rPr>
        <w:t>1.1.3.</w:t>
      </w:r>
      <w:r>
        <w:rPr>
          <w:rFonts w:ascii="Verdana" w:hAnsi="Verdana"/>
          <w:sz w:val="20"/>
          <w:szCs w:val="20"/>
        </w:rPr>
        <w:t>2</w:t>
      </w:r>
      <w:r w:rsidR="003F5401">
        <w:rPr>
          <w:rFonts w:ascii="Verdana" w:hAnsi="Verdana"/>
          <w:sz w:val="20"/>
          <w:szCs w:val="20"/>
        </w:rPr>
        <w:t>52</w:t>
      </w:r>
      <w:r w:rsidRPr="001C6CAB">
        <w:rPr>
          <w:rFonts w:ascii="Verdana" w:hAnsi="Verdana"/>
          <w:sz w:val="20"/>
          <w:szCs w:val="20"/>
        </w:rPr>
        <w:t>.</w:t>
      </w:r>
    </w:p>
    <w:p w14:paraId="49E58804" w14:textId="7B6F4C09" w:rsidR="005124FD" w:rsidRPr="0067462B" w:rsidRDefault="002B3025" w:rsidP="0067462B">
      <w:pPr>
        <w:autoSpaceDE w:val="0"/>
        <w:autoSpaceDN w:val="0"/>
        <w:adjustRightInd w:val="0"/>
        <w:jc w:val="both"/>
        <w:rPr>
          <w:rFonts w:ascii="Verdana" w:hAnsi="Verdana" w:cs="Arial"/>
          <w:sz w:val="20"/>
          <w:szCs w:val="20"/>
        </w:rPr>
      </w:pPr>
      <w:r w:rsidRPr="12B437D6">
        <w:rPr>
          <w:rFonts w:ascii="Verdana" w:hAnsi="Verdana" w:cs="Arial"/>
          <w:sz w:val="20"/>
          <w:szCs w:val="20"/>
        </w:rPr>
        <w:t xml:space="preserve">Adicionalmente, las entidades que cuenten con modelos internos no objetados deben informar las prácticas de la entidad para: </w:t>
      </w:r>
      <w:r w:rsidR="00D661A8">
        <w:rPr>
          <w:rFonts w:ascii="Verdana" w:hAnsi="Verdana" w:cs="Arial"/>
          <w:sz w:val="20"/>
          <w:szCs w:val="20"/>
        </w:rPr>
        <w:t>(</w:t>
      </w:r>
      <w:r w:rsidRPr="12B437D6">
        <w:rPr>
          <w:rFonts w:ascii="Verdana" w:hAnsi="Verdana" w:cs="Arial"/>
          <w:sz w:val="20"/>
          <w:szCs w:val="20"/>
        </w:rPr>
        <w:t>i) asegurar la validación apropiada del modelo de estimación interno</w:t>
      </w:r>
      <w:r w:rsidR="00D661A8">
        <w:rPr>
          <w:rFonts w:ascii="Verdana" w:hAnsi="Verdana" w:cs="Arial"/>
          <w:sz w:val="20"/>
          <w:szCs w:val="20"/>
        </w:rPr>
        <w:t>;</w:t>
      </w:r>
      <w:r w:rsidRPr="12B437D6">
        <w:rPr>
          <w:rFonts w:ascii="Verdana" w:hAnsi="Verdana" w:cs="Arial"/>
          <w:sz w:val="20"/>
          <w:szCs w:val="20"/>
        </w:rPr>
        <w:t xml:space="preserve"> y </w:t>
      </w:r>
      <w:r w:rsidR="00D661A8">
        <w:rPr>
          <w:rFonts w:ascii="Verdana" w:hAnsi="Verdana" w:cs="Arial"/>
          <w:sz w:val="20"/>
          <w:szCs w:val="20"/>
        </w:rPr>
        <w:t>(</w:t>
      </w:r>
      <w:r w:rsidRPr="12B437D6">
        <w:rPr>
          <w:rFonts w:ascii="Verdana" w:hAnsi="Verdana" w:cs="Arial"/>
          <w:sz w:val="20"/>
          <w:szCs w:val="20"/>
        </w:rPr>
        <w:t>ii) la actualización oportuna del mismo en respuesta a las condiciones cambiantes del mercado. Así mismo, deben informar lo siguiente:</w:t>
      </w:r>
    </w:p>
    <w:p w14:paraId="43637161" w14:textId="77777777" w:rsidR="0067462B" w:rsidRDefault="002B3025" w:rsidP="00551D66">
      <w:pPr>
        <w:pStyle w:val="Prrafodelista"/>
        <w:numPr>
          <w:ilvl w:val="0"/>
          <w:numId w:val="52"/>
        </w:numPr>
        <w:autoSpaceDE w:val="0"/>
        <w:autoSpaceDN w:val="0"/>
        <w:adjustRightInd w:val="0"/>
        <w:spacing w:after="0" w:line="240" w:lineRule="auto"/>
        <w:ind w:left="567" w:hanging="567"/>
        <w:jc w:val="both"/>
        <w:rPr>
          <w:rFonts w:ascii="Verdana" w:hAnsi="Verdana" w:cs="Arial"/>
          <w:bCs/>
          <w:sz w:val="20"/>
          <w:szCs w:val="20"/>
        </w:rPr>
      </w:pPr>
      <w:r w:rsidRPr="0067462B">
        <w:rPr>
          <w:rFonts w:ascii="Verdana" w:hAnsi="Verdana" w:cs="Arial"/>
          <w:bCs/>
          <w:sz w:val="20"/>
          <w:szCs w:val="20"/>
        </w:rPr>
        <w:t>Descripción de los choques de tasas de interés y de los escenarios de estrés que la entidad utiliza para estimar los cambios en el VEP y en el MNI, incluyendo una descripción detallada de las medidas específicas que implementa para calibrar su sensibilidad al RTILB.</w:t>
      </w:r>
    </w:p>
    <w:p w14:paraId="2951E8A0" w14:textId="77777777" w:rsidR="0067462B" w:rsidRDefault="0067462B" w:rsidP="0067462B">
      <w:pPr>
        <w:pStyle w:val="Prrafodelista"/>
        <w:autoSpaceDE w:val="0"/>
        <w:autoSpaceDN w:val="0"/>
        <w:adjustRightInd w:val="0"/>
        <w:spacing w:after="0" w:line="240" w:lineRule="auto"/>
        <w:ind w:left="567"/>
        <w:jc w:val="both"/>
        <w:rPr>
          <w:rFonts w:ascii="Verdana" w:hAnsi="Verdana" w:cs="Arial"/>
          <w:bCs/>
          <w:sz w:val="20"/>
          <w:szCs w:val="20"/>
        </w:rPr>
      </w:pPr>
    </w:p>
    <w:p w14:paraId="583EC062" w14:textId="7D923DB0" w:rsidR="0067462B" w:rsidRDefault="002B3025" w:rsidP="00551D66">
      <w:pPr>
        <w:pStyle w:val="Prrafodelista"/>
        <w:numPr>
          <w:ilvl w:val="0"/>
          <w:numId w:val="52"/>
        </w:numPr>
        <w:autoSpaceDE w:val="0"/>
        <w:autoSpaceDN w:val="0"/>
        <w:adjustRightInd w:val="0"/>
        <w:spacing w:after="0" w:line="240" w:lineRule="auto"/>
        <w:ind w:left="567" w:hanging="567"/>
        <w:jc w:val="both"/>
        <w:rPr>
          <w:rFonts w:ascii="Verdana" w:hAnsi="Verdana" w:cs="Arial"/>
          <w:bCs/>
          <w:sz w:val="20"/>
          <w:szCs w:val="20"/>
        </w:rPr>
      </w:pPr>
      <w:r w:rsidRPr="0067462B">
        <w:rPr>
          <w:rFonts w:ascii="Verdana" w:hAnsi="Verdana" w:cs="Arial"/>
          <w:bCs/>
          <w:sz w:val="20"/>
          <w:szCs w:val="20"/>
        </w:rPr>
        <w:t xml:space="preserve">Explicación de los supuestos adicionales utilizados en la modelación interna para el cálculo de las variaciones del VEP, MNI y otros propósitos diferentes a los de revelación, por ejemplo: para </w:t>
      </w:r>
      <w:r w:rsidR="00A8635B">
        <w:rPr>
          <w:rFonts w:ascii="Verdana" w:hAnsi="Verdana" w:cs="Arial"/>
          <w:bCs/>
          <w:sz w:val="20"/>
          <w:szCs w:val="20"/>
        </w:rPr>
        <w:t>el proceso de auto</w:t>
      </w:r>
      <w:r w:rsidRPr="0067462B">
        <w:rPr>
          <w:rFonts w:ascii="Verdana" w:hAnsi="Verdana" w:cs="Arial"/>
          <w:bCs/>
          <w:sz w:val="20"/>
          <w:szCs w:val="20"/>
        </w:rPr>
        <w:t>evaluación de capital. La entidad debe proveer una descripción de los supuestos asumidos y sus implicaciones, explicando su racionalidad.</w:t>
      </w:r>
    </w:p>
    <w:p w14:paraId="7A6756D9" w14:textId="77777777" w:rsidR="0067462B" w:rsidRPr="0067462B" w:rsidRDefault="0067462B" w:rsidP="0067462B">
      <w:pPr>
        <w:pStyle w:val="Prrafodelista"/>
        <w:rPr>
          <w:rFonts w:ascii="Verdana" w:hAnsi="Verdana" w:cs="Arial"/>
          <w:bCs/>
          <w:sz w:val="20"/>
          <w:szCs w:val="20"/>
        </w:rPr>
      </w:pPr>
    </w:p>
    <w:p w14:paraId="13C0C477" w14:textId="77777777" w:rsidR="0067462B" w:rsidRDefault="002B3025" w:rsidP="00551D66">
      <w:pPr>
        <w:pStyle w:val="Prrafodelista"/>
        <w:numPr>
          <w:ilvl w:val="0"/>
          <w:numId w:val="52"/>
        </w:numPr>
        <w:autoSpaceDE w:val="0"/>
        <w:autoSpaceDN w:val="0"/>
        <w:adjustRightInd w:val="0"/>
        <w:spacing w:after="0" w:line="240" w:lineRule="auto"/>
        <w:ind w:left="567" w:hanging="567"/>
        <w:jc w:val="both"/>
        <w:rPr>
          <w:rFonts w:ascii="Verdana" w:hAnsi="Verdana" w:cs="Arial"/>
          <w:bCs/>
          <w:sz w:val="20"/>
          <w:szCs w:val="20"/>
        </w:rPr>
      </w:pPr>
      <w:r w:rsidRPr="0067462B">
        <w:rPr>
          <w:rFonts w:ascii="Verdana" w:hAnsi="Verdana" w:cs="Arial"/>
          <w:bCs/>
          <w:sz w:val="20"/>
          <w:szCs w:val="20"/>
        </w:rPr>
        <w:t>Descripción detallada de cómo la entidad cubre su exposición al RTILB y el tratamiento contable asociado.</w:t>
      </w:r>
    </w:p>
    <w:p w14:paraId="653DCDA3" w14:textId="77777777" w:rsidR="0067462B" w:rsidRPr="0067462B" w:rsidRDefault="0067462B" w:rsidP="0067462B">
      <w:pPr>
        <w:pStyle w:val="Prrafodelista"/>
        <w:rPr>
          <w:rFonts w:ascii="Verdana" w:hAnsi="Verdana" w:cs="Arial"/>
          <w:sz w:val="20"/>
          <w:szCs w:val="20"/>
        </w:rPr>
      </w:pPr>
    </w:p>
    <w:p w14:paraId="6607A609" w14:textId="73FD9D30" w:rsidR="002B3025" w:rsidRPr="0067462B" w:rsidRDefault="002B3025" w:rsidP="00551D66">
      <w:pPr>
        <w:pStyle w:val="Prrafodelista"/>
        <w:numPr>
          <w:ilvl w:val="0"/>
          <w:numId w:val="52"/>
        </w:numPr>
        <w:autoSpaceDE w:val="0"/>
        <w:autoSpaceDN w:val="0"/>
        <w:adjustRightInd w:val="0"/>
        <w:spacing w:after="0" w:line="240" w:lineRule="auto"/>
        <w:ind w:left="567" w:hanging="567"/>
        <w:jc w:val="both"/>
        <w:rPr>
          <w:rFonts w:ascii="Verdana" w:hAnsi="Verdana" w:cs="Arial"/>
          <w:bCs/>
          <w:sz w:val="20"/>
          <w:szCs w:val="20"/>
        </w:rPr>
      </w:pPr>
      <w:r w:rsidRPr="0067462B">
        <w:rPr>
          <w:rFonts w:ascii="Verdana" w:hAnsi="Verdana" w:cs="Arial"/>
          <w:sz w:val="20"/>
          <w:szCs w:val="20"/>
        </w:rPr>
        <w:t xml:space="preserve">Descripción de los principales parámetros del modelo interno y de los supuestos usados en el cálculo de la </w:t>
      </w:r>
      <w:r w:rsidRPr="0067462B">
        <w:rPr>
          <w:rFonts w:ascii="Verdana" w:hAnsi="Verdana" w:cs="Calibri"/>
          <w:sz w:val="20"/>
          <w:szCs w:val="20"/>
        </w:rPr>
        <w:t>∆</w:t>
      </w:r>
      <w:r w:rsidRPr="0067462B">
        <w:rPr>
          <w:rFonts w:ascii="Verdana" w:hAnsi="Verdana" w:cs="Arial"/>
          <w:sz w:val="20"/>
          <w:szCs w:val="20"/>
        </w:rPr>
        <w:t xml:space="preserve">VEP y de la </w:t>
      </w:r>
      <w:r w:rsidRPr="0067462B">
        <w:rPr>
          <w:rFonts w:ascii="Verdana" w:hAnsi="Verdana" w:cs="Calibri"/>
          <w:sz w:val="20"/>
          <w:szCs w:val="20"/>
        </w:rPr>
        <w:t>∆</w:t>
      </w:r>
      <w:r w:rsidRPr="0067462B">
        <w:rPr>
          <w:rFonts w:ascii="Verdana" w:hAnsi="Verdana" w:cs="Arial"/>
          <w:sz w:val="20"/>
          <w:szCs w:val="20"/>
        </w:rPr>
        <w:t>MNI, tomando en cuenta los requisitos mínimos establecidos en</w:t>
      </w:r>
      <w:r w:rsidR="00333B13">
        <w:rPr>
          <w:rFonts w:ascii="Verdana" w:hAnsi="Verdana" w:cs="Arial"/>
          <w:sz w:val="20"/>
          <w:szCs w:val="20"/>
        </w:rPr>
        <w:t>tre los párrafos 1.1.2.</w:t>
      </w:r>
      <w:r w:rsidR="00B72275">
        <w:rPr>
          <w:rFonts w:ascii="Verdana" w:hAnsi="Verdana" w:cs="Arial"/>
          <w:sz w:val="20"/>
          <w:szCs w:val="20"/>
        </w:rPr>
        <w:t>341. y 1.1.2.348., así como en</w:t>
      </w:r>
      <w:r w:rsidR="00465BD6">
        <w:rPr>
          <w:rFonts w:ascii="Verdana" w:hAnsi="Verdana" w:cs="Arial"/>
          <w:sz w:val="20"/>
          <w:szCs w:val="20"/>
        </w:rPr>
        <w:t xml:space="preserve">tre los párrafos </w:t>
      </w:r>
      <w:r w:rsidR="008625C6">
        <w:rPr>
          <w:rFonts w:ascii="Verdana" w:hAnsi="Verdana" w:cs="Arial"/>
          <w:sz w:val="20"/>
          <w:szCs w:val="20"/>
        </w:rPr>
        <w:t>1.1.3.223. y 1.1.</w:t>
      </w:r>
      <w:r w:rsidR="00BB28B2">
        <w:rPr>
          <w:rFonts w:ascii="Verdana" w:hAnsi="Verdana" w:cs="Arial"/>
          <w:sz w:val="20"/>
          <w:szCs w:val="20"/>
        </w:rPr>
        <w:t>3.247.</w:t>
      </w:r>
      <w:r w:rsidRPr="0067462B">
        <w:rPr>
          <w:rFonts w:ascii="Verdana" w:hAnsi="Verdana" w:cs="Arial"/>
          <w:sz w:val="20"/>
          <w:szCs w:val="20"/>
        </w:rPr>
        <w:t xml:space="preserve"> Para el efecto, se debe incluir:</w:t>
      </w:r>
    </w:p>
    <w:p w14:paraId="4E798707" w14:textId="77777777" w:rsidR="002B3025" w:rsidRPr="002B3025" w:rsidRDefault="002B3025" w:rsidP="00B929BB">
      <w:pPr>
        <w:pStyle w:val="Prrafodelista"/>
        <w:autoSpaceDE w:val="0"/>
        <w:autoSpaceDN w:val="0"/>
        <w:adjustRightInd w:val="0"/>
        <w:ind w:left="284"/>
        <w:jc w:val="both"/>
        <w:rPr>
          <w:rFonts w:ascii="Verdana" w:hAnsi="Verdana" w:cs="Arial"/>
          <w:bCs/>
          <w:sz w:val="20"/>
          <w:szCs w:val="20"/>
        </w:rPr>
      </w:pPr>
    </w:p>
    <w:p w14:paraId="2D4E293C" w14:textId="77777777" w:rsidR="00551D66" w:rsidRDefault="002B3025" w:rsidP="00551D66">
      <w:pPr>
        <w:pStyle w:val="Prrafodelista"/>
        <w:numPr>
          <w:ilvl w:val="0"/>
          <w:numId w:val="53"/>
        </w:numPr>
        <w:spacing w:after="0" w:line="240" w:lineRule="exact"/>
        <w:ind w:left="1134" w:hanging="567"/>
        <w:jc w:val="both"/>
        <w:rPr>
          <w:rFonts w:ascii="Verdana" w:hAnsi="Verdana" w:cs="Arial"/>
          <w:bCs/>
          <w:sz w:val="20"/>
          <w:szCs w:val="20"/>
        </w:rPr>
      </w:pPr>
      <w:r w:rsidRPr="00551D66">
        <w:rPr>
          <w:rFonts w:ascii="Verdana" w:hAnsi="Verdana" w:cs="Arial"/>
          <w:bCs/>
          <w:sz w:val="20"/>
          <w:szCs w:val="20"/>
        </w:rPr>
        <w:t>Para la ∆VEP: El impacto del diferencial o spread de crédito y si los márgenes comerciales han sido incluidos en el cálculo de los flujos de caja usados y en la tasa de descuento utilizada.</w:t>
      </w:r>
    </w:p>
    <w:p w14:paraId="0A5750C8" w14:textId="77777777" w:rsidR="00551D66" w:rsidRDefault="00551D66" w:rsidP="00551D66">
      <w:pPr>
        <w:pStyle w:val="Prrafodelista"/>
        <w:spacing w:after="0" w:line="240" w:lineRule="exact"/>
        <w:ind w:left="1134"/>
        <w:jc w:val="both"/>
        <w:rPr>
          <w:rFonts w:ascii="Verdana" w:hAnsi="Verdana" w:cs="Arial"/>
          <w:bCs/>
          <w:sz w:val="20"/>
          <w:szCs w:val="20"/>
        </w:rPr>
      </w:pPr>
    </w:p>
    <w:p w14:paraId="43C76DDC" w14:textId="77777777" w:rsidR="00551D66" w:rsidRDefault="002B3025" w:rsidP="00551D66">
      <w:pPr>
        <w:pStyle w:val="Prrafodelista"/>
        <w:numPr>
          <w:ilvl w:val="0"/>
          <w:numId w:val="53"/>
        </w:numPr>
        <w:spacing w:after="0" w:line="240" w:lineRule="exact"/>
        <w:ind w:left="1134" w:hanging="567"/>
        <w:jc w:val="both"/>
        <w:rPr>
          <w:rFonts w:ascii="Verdana" w:hAnsi="Verdana" w:cs="Arial"/>
          <w:bCs/>
          <w:sz w:val="20"/>
          <w:szCs w:val="20"/>
        </w:rPr>
      </w:pPr>
      <w:r w:rsidRPr="00551D66">
        <w:rPr>
          <w:rFonts w:ascii="Verdana" w:hAnsi="Verdana" w:cs="Arial"/>
          <w:bCs/>
          <w:sz w:val="20"/>
          <w:szCs w:val="20"/>
        </w:rPr>
        <w:t>La metodología usada para estimar las tasas de prepago y supuestos de opcionalidad importantes para las exposiciones de la entidad.</w:t>
      </w:r>
    </w:p>
    <w:p w14:paraId="54CE710E" w14:textId="77777777" w:rsidR="00551D66" w:rsidRPr="00551D66" w:rsidRDefault="00551D66" w:rsidP="00551D66">
      <w:pPr>
        <w:pStyle w:val="Prrafodelista"/>
        <w:rPr>
          <w:rFonts w:ascii="Verdana" w:hAnsi="Verdana" w:cs="Arial"/>
          <w:bCs/>
          <w:sz w:val="20"/>
          <w:szCs w:val="20"/>
        </w:rPr>
      </w:pPr>
    </w:p>
    <w:p w14:paraId="014F0336" w14:textId="77777777" w:rsidR="00551D66" w:rsidRDefault="002B3025" w:rsidP="00551D66">
      <w:pPr>
        <w:pStyle w:val="Prrafodelista"/>
        <w:numPr>
          <w:ilvl w:val="0"/>
          <w:numId w:val="53"/>
        </w:numPr>
        <w:spacing w:after="0" w:line="240" w:lineRule="exact"/>
        <w:ind w:left="1134" w:hanging="567"/>
        <w:jc w:val="both"/>
        <w:rPr>
          <w:rFonts w:ascii="Verdana" w:hAnsi="Verdana" w:cs="Arial"/>
          <w:bCs/>
          <w:sz w:val="20"/>
          <w:szCs w:val="20"/>
        </w:rPr>
      </w:pPr>
      <w:r w:rsidRPr="00551D66">
        <w:rPr>
          <w:rFonts w:ascii="Verdana" w:hAnsi="Verdana" w:cs="Arial"/>
          <w:bCs/>
          <w:sz w:val="20"/>
          <w:szCs w:val="20"/>
        </w:rPr>
        <w:t>El tratamiento de los instrumentos con opcionalidad implícita y explícita.</w:t>
      </w:r>
    </w:p>
    <w:p w14:paraId="4F3ADEB8" w14:textId="77777777" w:rsidR="00551D66" w:rsidRPr="00551D66" w:rsidRDefault="00551D66" w:rsidP="00551D66">
      <w:pPr>
        <w:pStyle w:val="Prrafodelista"/>
        <w:rPr>
          <w:rFonts w:ascii="Verdana" w:hAnsi="Verdana" w:cs="Arial"/>
          <w:bCs/>
          <w:sz w:val="20"/>
          <w:szCs w:val="20"/>
        </w:rPr>
      </w:pPr>
    </w:p>
    <w:p w14:paraId="7D84D2B9" w14:textId="77777777" w:rsidR="00551D66" w:rsidRDefault="002B3025" w:rsidP="00551D66">
      <w:pPr>
        <w:pStyle w:val="Prrafodelista"/>
        <w:numPr>
          <w:ilvl w:val="0"/>
          <w:numId w:val="53"/>
        </w:numPr>
        <w:spacing w:after="0" w:line="240" w:lineRule="exact"/>
        <w:ind w:left="1134" w:hanging="567"/>
        <w:jc w:val="both"/>
        <w:rPr>
          <w:rFonts w:ascii="Verdana" w:hAnsi="Verdana" w:cs="Arial"/>
          <w:bCs/>
          <w:sz w:val="20"/>
          <w:szCs w:val="20"/>
        </w:rPr>
      </w:pPr>
      <w:r w:rsidRPr="00551D66">
        <w:rPr>
          <w:rFonts w:ascii="Verdana" w:hAnsi="Verdana" w:cs="Arial"/>
          <w:bCs/>
          <w:sz w:val="20"/>
          <w:szCs w:val="20"/>
        </w:rPr>
        <w:t>Cualquier otro supuesto que tenga un impacto material sobre el VEP y MNI, incluyendo una explicación de éstos.</w:t>
      </w:r>
    </w:p>
    <w:p w14:paraId="6B94F1CD" w14:textId="77777777" w:rsidR="00551D66" w:rsidRPr="00551D66" w:rsidRDefault="00551D66" w:rsidP="00551D66">
      <w:pPr>
        <w:pStyle w:val="Prrafodelista"/>
        <w:rPr>
          <w:rFonts w:ascii="Verdana" w:hAnsi="Verdana" w:cs="Arial"/>
          <w:bCs/>
          <w:sz w:val="20"/>
          <w:szCs w:val="20"/>
        </w:rPr>
      </w:pPr>
    </w:p>
    <w:p w14:paraId="76E2329C" w14:textId="77777777" w:rsidR="00551D66" w:rsidRDefault="002B3025" w:rsidP="00551D66">
      <w:pPr>
        <w:pStyle w:val="Prrafodelista"/>
        <w:numPr>
          <w:ilvl w:val="0"/>
          <w:numId w:val="53"/>
        </w:numPr>
        <w:spacing w:after="0" w:line="240" w:lineRule="exact"/>
        <w:ind w:left="1134" w:hanging="567"/>
        <w:jc w:val="both"/>
        <w:rPr>
          <w:rFonts w:ascii="Verdana" w:hAnsi="Verdana" w:cs="Arial"/>
          <w:bCs/>
          <w:sz w:val="20"/>
          <w:szCs w:val="20"/>
        </w:rPr>
      </w:pPr>
      <w:r w:rsidRPr="00551D66">
        <w:rPr>
          <w:rFonts w:ascii="Verdana" w:hAnsi="Verdana" w:cs="Arial"/>
          <w:bCs/>
          <w:sz w:val="20"/>
          <w:szCs w:val="20"/>
        </w:rPr>
        <w:t xml:space="preserve">Cualquier método de agregación adicional entre monedas y cualquier correlación significativa de tasas de interés entre las diferentes monedas. </w:t>
      </w:r>
    </w:p>
    <w:p w14:paraId="5EBC7CDC" w14:textId="77777777" w:rsidR="00551D66" w:rsidRPr="00551D66" w:rsidRDefault="00551D66" w:rsidP="00551D66">
      <w:pPr>
        <w:pStyle w:val="Prrafodelista"/>
        <w:rPr>
          <w:rFonts w:ascii="Verdana" w:hAnsi="Verdana" w:cs="Arial"/>
          <w:sz w:val="20"/>
          <w:szCs w:val="20"/>
        </w:rPr>
      </w:pPr>
    </w:p>
    <w:p w14:paraId="6D8AB041" w14:textId="120F7AAE" w:rsidR="002B3025" w:rsidRPr="0076684F" w:rsidRDefault="002B3025" w:rsidP="00551D66">
      <w:pPr>
        <w:pStyle w:val="Prrafodelista"/>
        <w:numPr>
          <w:ilvl w:val="0"/>
          <w:numId w:val="53"/>
        </w:numPr>
        <w:spacing w:after="0" w:line="240" w:lineRule="exact"/>
        <w:ind w:left="1134" w:hanging="567"/>
        <w:jc w:val="both"/>
        <w:rPr>
          <w:rFonts w:ascii="Verdana" w:hAnsi="Verdana" w:cs="Arial"/>
          <w:bCs/>
          <w:sz w:val="20"/>
          <w:szCs w:val="20"/>
        </w:rPr>
      </w:pPr>
      <w:r w:rsidRPr="00551D66">
        <w:rPr>
          <w:rFonts w:ascii="Verdana" w:hAnsi="Verdana" w:cs="Arial"/>
          <w:sz w:val="20"/>
          <w:szCs w:val="20"/>
        </w:rPr>
        <w:t>Cómo se ha determinado el vencimiento promedio de la revisión de precios de los depósitos sin vencimiento (incluidas las características únicas del producto que afectan la evaluación del comportamiento de la revisión de precios) cuando la entidad no haya utilizado el vencimiento promedio propuesto. Para el efecto, deberá incluir información sobre: i) vencimiento promedio de revisión de precios asignado a los NMD, y ii) vencimiento de revisión de precios más largo asignado a los NMD.</w:t>
      </w:r>
    </w:p>
    <w:p w14:paraId="6E64FBFF" w14:textId="77777777" w:rsidR="0076684F" w:rsidRPr="000E01D6" w:rsidRDefault="0076684F" w:rsidP="000E01D6">
      <w:pPr>
        <w:pStyle w:val="Prrafodelista"/>
        <w:rPr>
          <w:rFonts w:ascii="Verdana" w:hAnsi="Verdana" w:cs="Arial"/>
          <w:bCs/>
          <w:sz w:val="20"/>
          <w:szCs w:val="20"/>
        </w:rPr>
      </w:pPr>
    </w:p>
    <w:p w14:paraId="55887107" w14:textId="77777777" w:rsidR="0076684F" w:rsidRPr="00551D66" w:rsidRDefault="0076684F" w:rsidP="000E01D6">
      <w:pPr>
        <w:pStyle w:val="Prrafodelista"/>
        <w:spacing w:after="0" w:line="240" w:lineRule="exact"/>
        <w:ind w:left="1134"/>
        <w:jc w:val="both"/>
        <w:rPr>
          <w:rFonts w:ascii="Verdana" w:hAnsi="Verdana" w:cs="Arial"/>
          <w:bCs/>
          <w:sz w:val="20"/>
          <w:szCs w:val="20"/>
        </w:rPr>
      </w:pPr>
    </w:p>
    <w:sectPr w:rsidR="0076684F" w:rsidRPr="00551D66" w:rsidSect="00551D66">
      <w:headerReference w:type="default" r:id="rId11"/>
      <w:pgSz w:w="12242" w:h="18711" w:code="166"/>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04C6F" w14:textId="77777777" w:rsidR="00C75C51" w:rsidRDefault="00C75C51" w:rsidP="00057BF6">
      <w:pPr>
        <w:spacing w:after="0" w:line="240" w:lineRule="auto"/>
      </w:pPr>
      <w:r>
        <w:separator/>
      </w:r>
    </w:p>
  </w:endnote>
  <w:endnote w:type="continuationSeparator" w:id="0">
    <w:p w14:paraId="5B7FA24F" w14:textId="77777777" w:rsidR="00C75C51" w:rsidRDefault="00C75C51" w:rsidP="00057BF6">
      <w:pPr>
        <w:spacing w:after="0" w:line="240" w:lineRule="auto"/>
      </w:pPr>
      <w:r>
        <w:continuationSeparator/>
      </w:r>
    </w:p>
  </w:endnote>
  <w:endnote w:type="continuationNotice" w:id="1">
    <w:p w14:paraId="0D62BDCD" w14:textId="77777777" w:rsidR="00C75C51" w:rsidRDefault="00C75C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3BBA8" w14:textId="77777777" w:rsidR="00C75C51" w:rsidRDefault="00C75C51" w:rsidP="00057BF6">
      <w:pPr>
        <w:spacing w:after="0" w:line="240" w:lineRule="auto"/>
      </w:pPr>
      <w:r>
        <w:separator/>
      </w:r>
    </w:p>
  </w:footnote>
  <w:footnote w:type="continuationSeparator" w:id="0">
    <w:p w14:paraId="47ADA770" w14:textId="77777777" w:rsidR="00C75C51" w:rsidRDefault="00C75C51" w:rsidP="00057BF6">
      <w:pPr>
        <w:spacing w:after="0" w:line="240" w:lineRule="auto"/>
      </w:pPr>
      <w:r>
        <w:continuationSeparator/>
      </w:r>
    </w:p>
  </w:footnote>
  <w:footnote w:type="continuationNotice" w:id="1">
    <w:p w14:paraId="728523D4" w14:textId="77777777" w:rsidR="00C75C51" w:rsidRDefault="00C75C51">
      <w:pPr>
        <w:spacing w:after="0" w:line="240" w:lineRule="auto"/>
      </w:pPr>
    </w:p>
  </w:footnote>
  <w:footnote w:id="2">
    <w:p w14:paraId="232011E6" w14:textId="77777777" w:rsidR="00EF5900" w:rsidRPr="0022762D" w:rsidRDefault="00EF5900">
      <w:pPr>
        <w:pStyle w:val="Textonotapie"/>
        <w:jc w:val="both"/>
        <w:rPr>
          <w:rFonts w:ascii="Arial" w:hAnsi="Arial" w:cs="Arial"/>
          <w:sz w:val="14"/>
          <w:szCs w:val="14"/>
        </w:rPr>
      </w:pPr>
      <w:r w:rsidRPr="0022762D">
        <w:rPr>
          <w:rStyle w:val="Refdenotaalpie"/>
          <w:rFonts w:ascii="Arial" w:hAnsi="Arial" w:cs="Arial"/>
          <w:sz w:val="14"/>
          <w:szCs w:val="14"/>
        </w:rPr>
        <w:footnoteRef/>
      </w:r>
      <w:r w:rsidRPr="0022762D">
        <w:rPr>
          <w:rFonts w:ascii="Arial" w:hAnsi="Arial" w:cs="Arial"/>
          <w:sz w:val="14"/>
          <w:szCs w:val="14"/>
        </w:rPr>
        <w:t>L</w:t>
      </w:r>
      <w:r w:rsidRPr="0022762D">
        <w:rPr>
          <w:rFonts w:ascii="Arial" w:hAnsi="Arial" w:cs="Arial"/>
          <w:sz w:val="14"/>
          <w:szCs w:val="14"/>
          <w:shd w:val="clear" w:color="auto" w:fill="FFFFFF"/>
        </w:rPr>
        <w:t>a duración modificada parcial de un instrumento para una banda temporal específica se calcula como la duración modificada, con la diferencia de que no toda la curva de tipos se desplaza en paralelo, sino solo el segmento de la curva correspondiente a la banda temporal.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962FB4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1890740"/>
    <w:multiLevelType w:val="hybridMultilevel"/>
    <w:tmpl w:val="B67063A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1B10A17"/>
    <w:multiLevelType w:val="hybridMultilevel"/>
    <w:tmpl w:val="ADE0F3A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69369BF"/>
    <w:multiLevelType w:val="hybridMultilevel"/>
    <w:tmpl w:val="0E72881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AD115FD"/>
    <w:multiLevelType w:val="hybridMultilevel"/>
    <w:tmpl w:val="767E4BB0"/>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B8228F5"/>
    <w:multiLevelType w:val="hybridMultilevel"/>
    <w:tmpl w:val="CFE87432"/>
    <w:lvl w:ilvl="0" w:tplc="A2D2C1AA">
      <w:start w:val="1"/>
      <w:numFmt w:val="lowerRoman"/>
      <w:lvlText w:val="%1."/>
      <w:lvlJc w:val="left"/>
      <w:pPr>
        <w:ind w:left="720" w:hanging="360"/>
      </w:pPr>
      <w:rPr>
        <w:rFonts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C18390C"/>
    <w:multiLevelType w:val="hybridMultilevel"/>
    <w:tmpl w:val="82C8B40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23F2D5F"/>
    <w:multiLevelType w:val="hybridMultilevel"/>
    <w:tmpl w:val="E1ECDA1A"/>
    <w:lvl w:ilvl="0" w:tplc="240A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4193BF3"/>
    <w:multiLevelType w:val="hybridMultilevel"/>
    <w:tmpl w:val="5838E55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59C2B78"/>
    <w:multiLevelType w:val="multilevel"/>
    <w:tmpl w:val="13783B6A"/>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720" w:hanging="360"/>
      </w:p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6156926"/>
    <w:multiLevelType w:val="hybridMultilevel"/>
    <w:tmpl w:val="2D2E957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DDF27EF"/>
    <w:multiLevelType w:val="hybridMultilevel"/>
    <w:tmpl w:val="7C2AFB90"/>
    <w:lvl w:ilvl="0" w:tplc="A2D2C1AA">
      <w:start w:val="1"/>
      <w:numFmt w:val="lowerRoman"/>
      <w:lvlText w:val="%1."/>
      <w:lvlJc w:val="left"/>
      <w:pPr>
        <w:ind w:left="720" w:hanging="360"/>
      </w:pPr>
      <w:rPr>
        <w:rFonts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E7B0B5A"/>
    <w:multiLevelType w:val="hybridMultilevel"/>
    <w:tmpl w:val="495CC3B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F064ED9"/>
    <w:multiLevelType w:val="hybridMultilevel"/>
    <w:tmpl w:val="D772B014"/>
    <w:lvl w:ilvl="0" w:tplc="240A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21F3B45"/>
    <w:multiLevelType w:val="hybridMultilevel"/>
    <w:tmpl w:val="1618103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3C31B14"/>
    <w:multiLevelType w:val="hybridMultilevel"/>
    <w:tmpl w:val="29668B62"/>
    <w:lvl w:ilvl="0" w:tplc="B9AED7E0">
      <w:start w:val="1"/>
      <w:numFmt w:val="lowerLetter"/>
      <w:lvlText w:val="%1."/>
      <w:lvlJc w:val="left"/>
      <w:pPr>
        <w:ind w:left="1004" w:hanging="360"/>
      </w:pPr>
      <w:rPr>
        <w:rFonts w:ascii="Arial" w:eastAsia="Times New Roman" w:hAnsi="Arial" w:cs="Arial"/>
      </w:rPr>
    </w:lvl>
    <w:lvl w:ilvl="1" w:tplc="240A0019">
      <w:start w:val="1"/>
      <w:numFmt w:val="lowerLetter"/>
      <w:lvlText w:val="%2."/>
      <w:lvlJc w:val="left"/>
      <w:pPr>
        <w:ind w:left="502"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16" w15:restartNumberingAfterBreak="0">
    <w:nsid w:val="2A732F69"/>
    <w:multiLevelType w:val="hybridMultilevel"/>
    <w:tmpl w:val="3178485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BA33986"/>
    <w:multiLevelType w:val="hybridMultilevel"/>
    <w:tmpl w:val="0C7661D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1D04420"/>
    <w:multiLevelType w:val="hybridMultilevel"/>
    <w:tmpl w:val="A8FEC17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33F2650"/>
    <w:multiLevelType w:val="hybridMultilevel"/>
    <w:tmpl w:val="1C82E68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9912B7D"/>
    <w:multiLevelType w:val="hybridMultilevel"/>
    <w:tmpl w:val="50A65640"/>
    <w:lvl w:ilvl="0" w:tplc="240A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B8B1597"/>
    <w:multiLevelType w:val="hybridMultilevel"/>
    <w:tmpl w:val="626077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BAD1543"/>
    <w:multiLevelType w:val="hybridMultilevel"/>
    <w:tmpl w:val="38FEB6E8"/>
    <w:lvl w:ilvl="0" w:tplc="5F501496">
      <w:start w:val="1"/>
      <w:numFmt w:val="lowerLetter"/>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C294450"/>
    <w:multiLevelType w:val="hybridMultilevel"/>
    <w:tmpl w:val="28FE0AA8"/>
    <w:lvl w:ilvl="0" w:tplc="21643E90">
      <w:start w:val="1"/>
      <w:numFmt w:val="lowerLetter"/>
      <w:lvlText w:val="%1."/>
      <w:lvlJc w:val="left"/>
      <w:pPr>
        <w:ind w:left="1287" w:hanging="360"/>
      </w:pPr>
      <w:rPr>
        <w:rFonts w:ascii="Arial" w:eastAsia="Arial" w:hAnsi="Arial" w:cs="Arial" w:hint="default"/>
      </w:rPr>
    </w:lvl>
    <w:lvl w:ilvl="1" w:tplc="580A0003" w:tentative="1">
      <w:start w:val="1"/>
      <w:numFmt w:val="bullet"/>
      <w:lvlText w:val="o"/>
      <w:lvlJc w:val="left"/>
      <w:pPr>
        <w:ind w:left="2007" w:hanging="360"/>
      </w:pPr>
      <w:rPr>
        <w:rFonts w:ascii="Courier New" w:hAnsi="Courier New" w:cs="Courier New" w:hint="default"/>
      </w:rPr>
    </w:lvl>
    <w:lvl w:ilvl="2" w:tplc="580A0005" w:tentative="1">
      <w:start w:val="1"/>
      <w:numFmt w:val="bullet"/>
      <w:lvlText w:val=""/>
      <w:lvlJc w:val="left"/>
      <w:pPr>
        <w:ind w:left="2727" w:hanging="360"/>
      </w:pPr>
      <w:rPr>
        <w:rFonts w:ascii="Wingdings" w:hAnsi="Wingdings" w:hint="default"/>
      </w:rPr>
    </w:lvl>
    <w:lvl w:ilvl="3" w:tplc="580A0001" w:tentative="1">
      <w:start w:val="1"/>
      <w:numFmt w:val="bullet"/>
      <w:lvlText w:val=""/>
      <w:lvlJc w:val="left"/>
      <w:pPr>
        <w:ind w:left="3447" w:hanging="360"/>
      </w:pPr>
      <w:rPr>
        <w:rFonts w:ascii="Symbol" w:hAnsi="Symbol" w:hint="default"/>
      </w:rPr>
    </w:lvl>
    <w:lvl w:ilvl="4" w:tplc="580A0003" w:tentative="1">
      <w:start w:val="1"/>
      <w:numFmt w:val="bullet"/>
      <w:lvlText w:val="o"/>
      <w:lvlJc w:val="left"/>
      <w:pPr>
        <w:ind w:left="4167" w:hanging="360"/>
      </w:pPr>
      <w:rPr>
        <w:rFonts w:ascii="Courier New" w:hAnsi="Courier New" w:cs="Courier New" w:hint="default"/>
      </w:rPr>
    </w:lvl>
    <w:lvl w:ilvl="5" w:tplc="580A0005" w:tentative="1">
      <w:start w:val="1"/>
      <w:numFmt w:val="bullet"/>
      <w:lvlText w:val=""/>
      <w:lvlJc w:val="left"/>
      <w:pPr>
        <w:ind w:left="4887" w:hanging="360"/>
      </w:pPr>
      <w:rPr>
        <w:rFonts w:ascii="Wingdings" w:hAnsi="Wingdings" w:hint="default"/>
      </w:rPr>
    </w:lvl>
    <w:lvl w:ilvl="6" w:tplc="580A0001" w:tentative="1">
      <w:start w:val="1"/>
      <w:numFmt w:val="bullet"/>
      <w:lvlText w:val=""/>
      <w:lvlJc w:val="left"/>
      <w:pPr>
        <w:ind w:left="5607" w:hanging="360"/>
      </w:pPr>
      <w:rPr>
        <w:rFonts w:ascii="Symbol" w:hAnsi="Symbol" w:hint="default"/>
      </w:rPr>
    </w:lvl>
    <w:lvl w:ilvl="7" w:tplc="580A0003" w:tentative="1">
      <w:start w:val="1"/>
      <w:numFmt w:val="bullet"/>
      <w:lvlText w:val="o"/>
      <w:lvlJc w:val="left"/>
      <w:pPr>
        <w:ind w:left="6327" w:hanging="360"/>
      </w:pPr>
      <w:rPr>
        <w:rFonts w:ascii="Courier New" w:hAnsi="Courier New" w:cs="Courier New" w:hint="default"/>
      </w:rPr>
    </w:lvl>
    <w:lvl w:ilvl="8" w:tplc="580A0005" w:tentative="1">
      <w:start w:val="1"/>
      <w:numFmt w:val="bullet"/>
      <w:lvlText w:val=""/>
      <w:lvlJc w:val="left"/>
      <w:pPr>
        <w:ind w:left="7047" w:hanging="360"/>
      </w:pPr>
      <w:rPr>
        <w:rFonts w:ascii="Wingdings" w:hAnsi="Wingdings" w:hint="default"/>
      </w:rPr>
    </w:lvl>
  </w:abstractNum>
  <w:abstractNum w:abstractNumId="24" w15:restartNumberingAfterBreak="0">
    <w:nsid w:val="3D3568D8"/>
    <w:multiLevelType w:val="hybridMultilevel"/>
    <w:tmpl w:val="CF3E094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3D913286"/>
    <w:multiLevelType w:val="hybridMultilevel"/>
    <w:tmpl w:val="13F4F06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3E910568"/>
    <w:multiLevelType w:val="hybridMultilevel"/>
    <w:tmpl w:val="18F852C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2853076"/>
    <w:multiLevelType w:val="hybridMultilevel"/>
    <w:tmpl w:val="9C4CBD96"/>
    <w:lvl w:ilvl="0" w:tplc="A2D2C1AA">
      <w:start w:val="1"/>
      <w:numFmt w:val="lowerRoman"/>
      <w:lvlText w:val="%1."/>
      <w:lvlJc w:val="left"/>
      <w:pPr>
        <w:ind w:left="720" w:hanging="360"/>
      </w:pPr>
      <w:rPr>
        <w:rFonts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36F4B48"/>
    <w:multiLevelType w:val="hybridMultilevel"/>
    <w:tmpl w:val="BD2A78B4"/>
    <w:lvl w:ilvl="0" w:tplc="240A0019">
      <w:start w:val="1"/>
      <w:numFmt w:val="low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9" w15:restartNumberingAfterBreak="0">
    <w:nsid w:val="44E128CD"/>
    <w:multiLevelType w:val="hybridMultilevel"/>
    <w:tmpl w:val="126E677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54413C6"/>
    <w:multiLevelType w:val="hybridMultilevel"/>
    <w:tmpl w:val="921235E2"/>
    <w:lvl w:ilvl="0" w:tplc="B9AED7E0">
      <w:start w:val="1"/>
      <w:numFmt w:val="lowerLetter"/>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BFB2EF8"/>
    <w:multiLevelType w:val="hybridMultilevel"/>
    <w:tmpl w:val="3852F8C2"/>
    <w:lvl w:ilvl="0" w:tplc="78C0E582">
      <w:start w:val="4"/>
      <w:numFmt w:val="lowerLetter"/>
      <w:lvlText w:val="%1)"/>
      <w:lvlJc w:val="left"/>
      <w:pPr>
        <w:tabs>
          <w:tab w:val="num" w:pos="360"/>
        </w:tabs>
        <w:ind w:left="360" w:hanging="360"/>
      </w:pPr>
      <w:rPr>
        <w:rFonts w:hint="default"/>
      </w:rPr>
    </w:lvl>
    <w:lvl w:ilvl="1" w:tplc="0C0A0019" w:tentative="1">
      <w:start w:val="1"/>
      <w:numFmt w:val="lowerLetter"/>
      <w:pStyle w:val="Titulo3"/>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2" w15:restartNumberingAfterBreak="0">
    <w:nsid w:val="4C0F2B41"/>
    <w:multiLevelType w:val="hybridMultilevel"/>
    <w:tmpl w:val="14E4EDE2"/>
    <w:lvl w:ilvl="0" w:tplc="A2D2C1AA">
      <w:start w:val="1"/>
      <w:numFmt w:val="lowerRoman"/>
      <w:lvlText w:val="%1."/>
      <w:lvlJc w:val="left"/>
      <w:pPr>
        <w:ind w:left="1287" w:hanging="360"/>
      </w:pPr>
      <w:rPr>
        <w:rFonts w:cs="Times New Roman" w:hint="default"/>
      </w:r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33" w15:restartNumberingAfterBreak="0">
    <w:nsid w:val="4E3B66AD"/>
    <w:multiLevelType w:val="hybridMultilevel"/>
    <w:tmpl w:val="AF9A2DFC"/>
    <w:lvl w:ilvl="0" w:tplc="B9AED7E0">
      <w:start w:val="1"/>
      <w:numFmt w:val="lowerLetter"/>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4EDD279B"/>
    <w:multiLevelType w:val="hybridMultilevel"/>
    <w:tmpl w:val="C374DCC4"/>
    <w:lvl w:ilvl="0" w:tplc="240A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F5F2695"/>
    <w:multiLevelType w:val="hybridMultilevel"/>
    <w:tmpl w:val="ABDCB6AC"/>
    <w:lvl w:ilvl="0" w:tplc="A2D2C1AA">
      <w:start w:val="1"/>
      <w:numFmt w:val="lowerRoman"/>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6" w15:restartNumberingAfterBreak="0">
    <w:nsid w:val="5044020C"/>
    <w:multiLevelType w:val="hybridMultilevel"/>
    <w:tmpl w:val="5570409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52111FC1"/>
    <w:multiLevelType w:val="hybridMultilevel"/>
    <w:tmpl w:val="C7DAB26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32B7115"/>
    <w:multiLevelType w:val="hybridMultilevel"/>
    <w:tmpl w:val="24BCC50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551C4BF6"/>
    <w:multiLevelType w:val="hybridMultilevel"/>
    <w:tmpl w:val="CE18023A"/>
    <w:lvl w:ilvl="0" w:tplc="B9AED7E0">
      <w:start w:val="1"/>
      <w:numFmt w:val="lowerLetter"/>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587C5A4E"/>
    <w:multiLevelType w:val="multilevel"/>
    <w:tmpl w:val="6AB08116"/>
    <w:lvl w:ilvl="0">
      <w:start w:val="1"/>
      <w:numFmt w:val="bullet"/>
      <w:lvlText w:val=""/>
      <w:lvlJc w:val="left"/>
      <w:pPr>
        <w:tabs>
          <w:tab w:val="num" w:pos="360"/>
        </w:tabs>
        <w:ind w:left="360" w:hanging="360"/>
      </w:pPr>
      <w:rPr>
        <w:rFonts w:ascii="Symbol" w:hAnsi="Symbol" w:hint="default"/>
        <w:b/>
      </w:rPr>
    </w:lvl>
    <w:lvl w:ilvl="1">
      <w:start w:val="1"/>
      <w:numFmt w:val="decimal"/>
      <w:pStyle w:val="Titulo"/>
      <w:lvlText w:val="%1.%2"/>
      <w:lvlJc w:val="left"/>
      <w:pPr>
        <w:tabs>
          <w:tab w:val="num" w:pos="1070"/>
        </w:tabs>
        <w:ind w:left="107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2.%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1" w15:restartNumberingAfterBreak="0">
    <w:nsid w:val="59E62238"/>
    <w:multiLevelType w:val="hybridMultilevel"/>
    <w:tmpl w:val="DA3E3BFC"/>
    <w:lvl w:ilvl="0" w:tplc="B9AED7E0">
      <w:start w:val="1"/>
      <w:numFmt w:val="lowerLetter"/>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5B522960"/>
    <w:multiLevelType w:val="hybridMultilevel"/>
    <w:tmpl w:val="0C44F0E0"/>
    <w:lvl w:ilvl="0" w:tplc="240A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3701EAC"/>
    <w:multiLevelType w:val="hybridMultilevel"/>
    <w:tmpl w:val="E670121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6492738F"/>
    <w:multiLevelType w:val="hybridMultilevel"/>
    <w:tmpl w:val="9354A360"/>
    <w:lvl w:ilvl="0" w:tplc="240A0003">
      <w:start w:val="1"/>
      <w:numFmt w:val="bullet"/>
      <w:lvlText w:val="o"/>
      <w:lvlJc w:val="left"/>
      <w:pPr>
        <w:ind w:left="720" w:hanging="360"/>
      </w:pPr>
      <w:rPr>
        <w:rFonts w:ascii="Courier New" w:hAnsi="Courier New" w:cs="Courier New" w:hint="default"/>
      </w:rPr>
    </w:lvl>
    <w:lvl w:ilvl="1" w:tplc="240A0005">
      <w:start w:val="1"/>
      <w:numFmt w:val="bullet"/>
      <w:lvlText w:val=""/>
      <w:lvlJc w:val="left"/>
      <w:pPr>
        <w:ind w:left="1440" w:hanging="360"/>
      </w:pPr>
      <w:rPr>
        <w:rFonts w:ascii="Wingdings" w:hAnsi="Wingdings"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64F02AA2"/>
    <w:multiLevelType w:val="hybridMultilevel"/>
    <w:tmpl w:val="7552581C"/>
    <w:lvl w:ilvl="0" w:tplc="B9AED7E0">
      <w:start w:val="1"/>
      <w:numFmt w:val="lowerLetter"/>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669C2F1F"/>
    <w:multiLevelType w:val="hybridMultilevel"/>
    <w:tmpl w:val="D1B0D6A6"/>
    <w:lvl w:ilvl="0" w:tplc="A2D2C1AA">
      <w:start w:val="1"/>
      <w:numFmt w:val="lowerRoman"/>
      <w:lvlText w:val="%1."/>
      <w:lvlJc w:val="left"/>
      <w:pPr>
        <w:ind w:left="720" w:hanging="360"/>
      </w:pPr>
      <w:rPr>
        <w:rFonts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68CF2AA4"/>
    <w:multiLevelType w:val="hybridMultilevel"/>
    <w:tmpl w:val="113455B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6CB10EAD"/>
    <w:multiLevelType w:val="hybridMultilevel"/>
    <w:tmpl w:val="D5A01B38"/>
    <w:lvl w:ilvl="0" w:tplc="F7A660CC">
      <w:start w:val="1"/>
      <w:numFmt w:val="lowerLetter"/>
      <w:lvlText w:val="%1."/>
      <w:lvlJc w:val="left"/>
      <w:pPr>
        <w:ind w:left="720" w:hanging="360"/>
      </w:pPr>
      <w:rPr>
        <w:rFonts w:cstheme="minorBid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6E96332C"/>
    <w:multiLevelType w:val="hybridMultilevel"/>
    <w:tmpl w:val="B3D20862"/>
    <w:lvl w:ilvl="0" w:tplc="A2D2C1AA">
      <w:start w:val="1"/>
      <w:numFmt w:val="lowerRoman"/>
      <w:lvlText w:val="%1."/>
      <w:lvlJc w:val="left"/>
      <w:pPr>
        <w:ind w:left="720" w:hanging="360"/>
      </w:pPr>
      <w:rPr>
        <w:rFonts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74F94BB6"/>
    <w:multiLevelType w:val="hybridMultilevel"/>
    <w:tmpl w:val="A07E7DB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76C94C03"/>
    <w:multiLevelType w:val="multilevel"/>
    <w:tmpl w:val="0C0A001D"/>
    <w:styleLink w:val="Estilo1"/>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7D810986"/>
    <w:multiLevelType w:val="hybridMultilevel"/>
    <w:tmpl w:val="FF1EDB8E"/>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num w:numId="1" w16cid:durableId="1880435568">
    <w:abstractNumId w:val="51"/>
  </w:num>
  <w:num w:numId="2" w16cid:durableId="1362513633">
    <w:abstractNumId w:val="0"/>
  </w:num>
  <w:num w:numId="3" w16cid:durableId="1033919947">
    <w:abstractNumId w:val="40"/>
  </w:num>
  <w:num w:numId="4" w16cid:durableId="394594035">
    <w:abstractNumId w:val="31"/>
  </w:num>
  <w:num w:numId="5" w16cid:durableId="281039634">
    <w:abstractNumId w:val="23"/>
  </w:num>
  <w:num w:numId="6" w16cid:durableId="1551988996">
    <w:abstractNumId w:val="35"/>
  </w:num>
  <w:num w:numId="7" w16cid:durableId="295842242">
    <w:abstractNumId w:val="15"/>
  </w:num>
  <w:num w:numId="8" w16cid:durableId="1123957339">
    <w:abstractNumId w:val="52"/>
  </w:num>
  <w:num w:numId="9" w16cid:durableId="1261137682">
    <w:abstractNumId w:val="36"/>
  </w:num>
  <w:num w:numId="10" w16cid:durableId="766075622">
    <w:abstractNumId w:val="34"/>
  </w:num>
  <w:num w:numId="11" w16cid:durableId="2083064014">
    <w:abstractNumId w:val="42"/>
  </w:num>
  <w:num w:numId="12" w16cid:durableId="1010448897">
    <w:abstractNumId w:val="50"/>
  </w:num>
  <w:num w:numId="13" w16cid:durableId="1894268117">
    <w:abstractNumId w:val="4"/>
  </w:num>
  <w:num w:numId="14" w16cid:durableId="825820045">
    <w:abstractNumId w:val="13"/>
  </w:num>
  <w:num w:numId="15" w16cid:durableId="1533759713">
    <w:abstractNumId w:val="9"/>
  </w:num>
  <w:num w:numId="16" w16cid:durableId="283005051">
    <w:abstractNumId w:val="38"/>
  </w:num>
  <w:num w:numId="17" w16cid:durableId="701398582">
    <w:abstractNumId w:val="26"/>
  </w:num>
  <w:num w:numId="18" w16cid:durableId="92823070">
    <w:abstractNumId w:val="43"/>
  </w:num>
  <w:num w:numId="19" w16cid:durableId="1658075045">
    <w:abstractNumId w:val="7"/>
  </w:num>
  <w:num w:numId="20" w16cid:durableId="1208570024">
    <w:abstractNumId w:val="8"/>
  </w:num>
  <w:num w:numId="21" w16cid:durableId="1091898009">
    <w:abstractNumId w:val="19"/>
  </w:num>
  <w:num w:numId="22" w16cid:durableId="1332218674">
    <w:abstractNumId w:val="24"/>
  </w:num>
  <w:num w:numId="23" w16cid:durableId="1776896717">
    <w:abstractNumId w:val="37"/>
  </w:num>
  <w:num w:numId="24" w16cid:durableId="1472558298">
    <w:abstractNumId w:val="10"/>
  </w:num>
  <w:num w:numId="25" w16cid:durableId="1890720710">
    <w:abstractNumId w:val="17"/>
  </w:num>
  <w:num w:numId="26" w16cid:durableId="675963183">
    <w:abstractNumId w:val="1"/>
  </w:num>
  <w:num w:numId="27" w16cid:durableId="1417635048">
    <w:abstractNumId w:val="47"/>
  </w:num>
  <w:num w:numId="28" w16cid:durableId="1035696779">
    <w:abstractNumId w:val="3"/>
  </w:num>
  <w:num w:numId="29" w16cid:durableId="262805836">
    <w:abstractNumId w:val="12"/>
  </w:num>
  <w:num w:numId="30" w16cid:durableId="1248002291">
    <w:abstractNumId w:val="16"/>
  </w:num>
  <w:num w:numId="31" w16cid:durableId="555553135">
    <w:abstractNumId w:val="6"/>
  </w:num>
  <w:num w:numId="32" w16cid:durableId="378552035">
    <w:abstractNumId w:val="29"/>
  </w:num>
  <w:num w:numId="33" w16cid:durableId="83578012">
    <w:abstractNumId w:val="18"/>
  </w:num>
  <w:num w:numId="34" w16cid:durableId="475148232">
    <w:abstractNumId w:val="25"/>
  </w:num>
  <w:num w:numId="35" w16cid:durableId="1783302838">
    <w:abstractNumId w:val="14"/>
  </w:num>
  <w:num w:numId="36" w16cid:durableId="208147170">
    <w:abstractNumId w:val="20"/>
  </w:num>
  <w:num w:numId="37" w16cid:durableId="86117494">
    <w:abstractNumId w:val="28"/>
  </w:num>
  <w:num w:numId="38" w16cid:durableId="1766610607">
    <w:abstractNumId w:val="22"/>
  </w:num>
  <w:num w:numId="39" w16cid:durableId="1820611987">
    <w:abstractNumId w:val="21"/>
  </w:num>
  <w:num w:numId="40" w16cid:durableId="1759402302">
    <w:abstractNumId w:val="44"/>
  </w:num>
  <w:num w:numId="41" w16cid:durableId="1943149968">
    <w:abstractNumId w:val="2"/>
  </w:num>
  <w:num w:numId="42" w16cid:durableId="439571879">
    <w:abstractNumId w:val="27"/>
  </w:num>
  <w:num w:numId="43" w16cid:durableId="1789859516">
    <w:abstractNumId w:val="41"/>
  </w:num>
  <w:num w:numId="44" w16cid:durableId="965356498">
    <w:abstractNumId w:val="45"/>
  </w:num>
  <w:num w:numId="45" w16cid:durableId="144326443">
    <w:abstractNumId w:val="11"/>
  </w:num>
  <w:num w:numId="46" w16cid:durableId="1687370260">
    <w:abstractNumId w:val="30"/>
  </w:num>
  <w:num w:numId="47" w16cid:durableId="902715990">
    <w:abstractNumId w:val="32"/>
  </w:num>
  <w:num w:numId="48" w16cid:durableId="794716052">
    <w:abstractNumId w:val="39"/>
  </w:num>
  <w:num w:numId="49" w16cid:durableId="554007316">
    <w:abstractNumId w:val="5"/>
  </w:num>
  <w:num w:numId="50" w16cid:durableId="1918199827">
    <w:abstractNumId w:val="46"/>
  </w:num>
  <w:num w:numId="51" w16cid:durableId="2059232748">
    <w:abstractNumId w:val="33"/>
  </w:num>
  <w:num w:numId="52" w16cid:durableId="1082217360">
    <w:abstractNumId w:val="48"/>
  </w:num>
  <w:num w:numId="53" w16cid:durableId="1968774351">
    <w:abstractNumId w:val="4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1337"/>
    <w:rsid w:val="000017C4"/>
    <w:rsid w:val="000036BB"/>
    <w:rsid w:val="000039DD"/>
    <w:rsid w:val="0000415E"/>
    <w:rsid w:val="0000415F"/>
    <w:rsid w:val="00010006"/>
    <w:rsid w:val="00010F87"/>
    <w:rsid w:val="0001153D"/>
    <w:rsid w:val="0001214E"/>
    <w:rsid w:val="00012933"/>
    <w:rsid w:val="00013853"/>
    <w:rsid w:val="000149EF"/>
    <w:rsid w:val="00014E34"/>
    <w:rsid w:val="000155B8"/>
    <w:rsid w:val="0001635B"/>
    <w:rsid w:val="00016496"/>
    <w:rsid w:val="0002022F"/>
    <w:rsid w:val="00020E64"/>
    <w:rsid w:val="00022A73"/>
    <w:rsid w:val="00022EE6"/>
    <w:rsid w:val="000246A3"/>
    <w:rsid w:val="000246EE"/>
    <w:rsid w:val="000252C0"/>
    <w:rsid w:val="00025DEC"/>
    <w:rsid w:val="0003109D"/>
    <w:rsid w:val="00036D22"/>
    <w:rsid w:val="00037B59"/>
    <w:rsid w:val="00040CE3"/>
    <w:rsid w:val="00040F97"/>
    <w:rsid w:val="00041DA9"/>
    <w:rsid w:val="0004229F"/>
    <w:rsid w:val="0004256C"/>
    <w:rsid w:val="00042BCD"/>
    <w:rsid w:val="00043221"/>
    <w:rsid w:val="00043B60"/>
    <w:rsid w:val="00043B75"/>
    <w:rsid w:val="00046D63"/>
    <w:rsid w:val="00047276"/>
    <w:rsid w:val="00051007"/>
    <w:rsid w:val="000511D5"/>
    <w:rsid w:val="0005277E"/>
    <w:rsid w:val="00052C73"/>
    <w:rsid w:val="000547C1"/>
    <w:rsid w:val="00056476"/>
    <w:rsid w:val="00057BF6"/>
    <w:rsid w:val="00061289"/>
    <w:rsid w:val="00063484"/>
    <w:rsid w:val="000642C5"/>
    <w:rsid w:val="000644E1"/>
    <w:rsid w:val="00064A63"/>
    <w:rsid w:val="000652D3"/>
    <w:rsid w:val="000668EE"/>
    <w:rsid w:val="0006736C"/>
    <w:rsid w:val="00067BF7"/>
    <w:rsid w:val="000715FD"/>
    <w:rsid w:val="00072BB4"/>
    <w:rsid w:val="00072C08"/>
    <w:rsid w:val="00073225"/>
    <w:rsid w:val="00073A53"/>
    <w:rsid w:val="00073C20"/>
    <w:rsid w:val="000743A7"/>
    <w:rsid w:val="000757BC"/>
    <w:rsid w:val="000759F9"/>
    <w:rsid w:val="00076146"/>
    <w:rsid w:val="00076405"/>
    <w:rsid w:val="00076491"/>
    <w:rsid w:val="00076CA0"/>
    <w:rsid w:val="000770FE"/>
    <w:rsid w:val="00077585"/>
    <w:rsid w:val="000821F7"/>
    <w:rsid w:val="00082392"/>
    <w:rsid w:val="0008377E"/>
    <w:rsid w:val="00083F4E"/>
    <w:rsid w:val="0008526F"/>
    <w:rsid w:val="000859AB"/>
    <w:rsid w:val="000867E3"/>
    <w:rsid w:val="00087ABF"/>
    <w:rsid w:val="00090D95"/>
    <w:rsid w:val="0009137C"/>
    <w:rsid w:val="00095871"/>
    <w:rsid w:val="00097AE3"/>
    <w:rsid w:val="00097E49"/>
    <w:rsid w:val="00097ED2"/>
    <w:rsid w:val="000A0D3A"/>
    <w:rsid w:val="000A0FFE"/>
    <w:rsid w:val="000A1C73"/>
    <w:rsid w:val="000A2612"/>
    <w:rsid w:val="000A35ED"/>
    <w:rsid w:val="000A3CBF"/>
    <w:rsid w:val="000A3D75"/>
    <w:rsid w:val="000A4294"/>
    <w:rsid w:val="000A4842"/>
    <w:rsid w:val="000A65F4"/>
    <w:rsid w:val="000A79B6"/>
    <w:rsid w:val="000A7AAD"/>
    <w:rsid w:val="000B0715"/>
    <w:rsid w:val="000B30E7"/>
    <w:rsid w:val="000B316D"/>
    <w:rsid w:val="000B32C7"/>
    <w:rsid w:val="000B3F04"/>
    <w:rsid w:val="000B40E8"/>
    <w:rsid w:val="000B4B3F"/>
    <w:rsid w:val="000B4FD6"/>
    <w:rsid w:val="000B65BB"/>
    <w:rsid w:val="000B7031"/>
    <w:rsid w:val="000B7A2B"/>
    <w:rsid w:val="000C1A68"/>
    <w:rsid w:val="000C6744"/>
    <w:rsid w:val="000D0C68"/>
    <w:rsid w:val="000D2333"/>
    <w:rsid w:val="000D23C9"/>
    <w:rsid w:val="000D2776"/>
    <w:rsid w:val="000D3E68"/>
    <w:rsid w:val="000D4897"/>
    <w:rsid w:val="000D534D"/>
    <w:rsid w:val="000D56B7"/>
    <w:rsid w:val="000D7668"/>
    <w:rsid w:val="000E01D6"/>
    <w:rsid w:val="000E0611"/>
    <w:rsid w:val="000E0892"/>
    <w:rsid w:val="000E17C6"/>
    <w:rsid w:val="000E1825"/>
    <w:rsid w:val="000E2840"/>
    <w:rsid w:val="000E2CE0"/>
    <w:rsid w:val="000F32EC"/>
    <w:rsid w:val="000F3B8B"/>
    <w:rsid w:val="000F4144"/>
    <w:rsid w:val="000F4189"/>
    <w:rsid w:val="000F59B4"/>
    <w:rsid w:val="000F6440"/>
    <w:rsid w:val="000F680A"/>
    <w:rsid w:val="000F763B"/>
    <w:rsid w:val="001005FF"/>
    <w:rsid w:val="00101E9F"/>
    <w:rsid w:val="00102BFC"/>
    <w:rsid w:val="001041EE"/>
    <w:rsid w:val="0010478F"/>
    <w:rsid w:val="0010479A"/>
    <w:rsid w:val="00105F71"/>
    <w:rsid w:val="0010782E"/>
    <w:rsid w:val="001119B0"/>
    <w:rsid w:val="00112602"/>
    <w:rsid w:val="001127B6"/>
    <w:rsid w:val="0011438B"/>
    <w:rsid w:val="001173F5"/>
    <w:rsid w:val="0011768C"/>
    <w:rsid w:val="0012060A"/>
    <w:rsid w:val="00121513"/>
    <w:rsid w:val="0012174E"/>
    <w:rsid w:val="0012188C"/>
    <w:rsid w:val="00122737"/>
    <w:rsid w:val="00123AFB"/>
    <w:rsid w:val="001246B3"/>
    <w:rsid w:val="00130906"/>
    <w:rsid w:val="00131263"/>
    <w:rsid w:val="00131501"/>
    <w:rsid w:val="00132B3D"/>
    <w:rsid w:val="00132E66"/>
    <w:rsid w:val="00134D28"/>
    <w:rsid w:val="0013579C"/>
    <w:rsid w:val="00135D26"/>
    <w:rsid w:val="001370C7"/>
    <w:rsid w:val="00140003"/>
    <w:rsid w:val="00144AA5"/>
    <w:rsid w:val="00144B9A"/>
    <w:rsid w:val="001456A8"/>
    <w:rsid w:val="00147572"/>
    <w:rsid w:val="0015029C"/>
    <w:rsid w:val="0015036A"/>
    <w:rsid w:val="00150F74"/>
    <w:rsid w:val="00151167"/>
    <w:rsid w:val="00151ED5"/>
    <w:rsid w:val="00152072"/>
    <w:rsid w:val="0015346B"/>
    <w:rsid w:val="00153724"/>
    <w:rsid w:val="0015422E"/>
    <w:rsid w:val="001545CC"/>
    <w:rsid w:val="00155DEE"/>
    <w:rsid w:val="0015665F"/>
    <w:rsid w:val="00156F48"/>
    <w:rsid w:val="00157AFD"/>
    <w:rsid w:val="001610DF"/>
    <w:rsid w:val="0016161D"/>
    <w:rsid w:val="00161838"/>
    <w:rsid w:val="00161B1E"/>
    <w:rsid w:val="00162362"/>
    <w:rsid w:val="00162757"/>
    <w:rsid w:val="00162BBD"/>
    <w:rsid w:val="00162EB0"/>
    <w:rsid w:val="001641EA"/>
    <w:rsid w:val="001642BE"/>
    <w:rsid w:val="00166251"/>
    <w:rsid w:val="00167C72"/>
    <w:rsid w:val="00170E67"/>
    <w:rsid w:val="00172374"/>
    <w:rsid w:val="0017289C"/>
    <w:rsid w:val="00174562"/>
    <w:rsid w:val="00175E56"/>
    <w:rsid w:val="001803B9"/>
    <w:rsid w:val="00181066"/>
    <w:rsid w:val="001816A8"/>
    <w:rsid w:val="001821EF"/>
    <w:rsid w:val="0018282D"/>
    <w:rsid w:val="00182D07"/>
    <w:rsid w:val="001835E8"/>
    <w:rsid w:val="00185042"/>
    <w:rsid w:val="00185310"/>
    <w:rsid w:val="00185D6A"/>
    <w:rsid w:val="00186526"/>
    <w:rsid w:val="00186FCA"/>
    <w:rsid w:val="00187274"/>
    <w:rsid w:val="001907E2"/>
    <w:rsid w:val="00190A41"/>
    <w:rsid w:val="00191F02"/>
    <w:rsid w:val="00194150"/>
    <w:rsid w:val="00194464"/>
    <w:rsid w:val="001949E1"/>
    <w:rsid w:val="0019508E"/>
    <w:rsid w:val="00196A88"/>
    <w:rsid w:val="001974D4"/>
    <w:rsid w:val="00197504"/>
    <w:rsid w:val="00197553"/>
    <w:rsid w:val="001A076F"/>
    <w:rsid w:val="001A07D5"/>
    <w:rsid w:val="001A0E66"/>
    <w:rsid w:val="001A1305"/>
    <w:rsid w:val="001A17C5"/>
    <w:rsid w:val="001A2B4C"/>
    <w:rsid w:val="001A41A3"/>
    <w:rsid w:val="001A420B"/>
    <w:rsid w:val="001A4985"/>
    <w:rsid w:val="001A5318"/>
    <w:rsid w:val="001A645D"/>
    <w:rsid w:val="001A7512"/>
    <w:rsid w:val="001B024D"/>
    <w:rsid w:val="001B2092"/>
    <w:rsid w:val="001B339B"/>
    <w:rsid w:val="001B43BB"/>
    <w:rsid w:val="001B5187"/>
    <w:rsid w:val="001B51F1"/>
    <w:rsid w:val="001B5205"/>
    <w:rsid w:val="001B590F"/>
    <w:rsid w:val="001B63FE"/>
    <w:rsid w:val="001C0218"/>
    <w:rsid w:val="001C18ED"/>
    <w:rsid w:val="001C1B3C"/>
    <w:rsid w:val="001C220F"/>
    <w:rsid w:val="001C66D3"/>
    <w:rsid w:val="001C6CAB"/>
    <w:rsid w:val="001C713D"/>
    <w:rsid w:val="001C7A29"/>
    <w:rsid w:val="001D1CCE"/>
    <w:rsid w:val="001D31CB"/>
    <w:rsid w:val="001D33BF"/>
    <w:rsid w:val="001D3D58"/>
    <w:rsid w:val="001D4E8E"/>
    <w:rsid w:val="001D6348"/>
    <w:rsid w:val="001D65C3"/>
    <w:rsid w:val="001D664A"/>
    <w:rsid w:val="001D6DCB"/>
    <w:rsid w:val="001D6DEE"/>
    <w:rsid w:val="001D7698"/>
    <w:rsid w:val="001D7D71"/>
    <w:rsid w:val="001D7FA0"/>
    <w:rsid w:val="001E049F"/>
    <w:rsid w:val="001E12B2"/>
    <w:rsid w:val="001E197C"/>
    <w:rsid w:val="001E1BBC"/>
    <w:rsid w:val="001E1C2E"/>
    <w:rsid w:val="001E28EE"/>
    <w:rsid w:val="001E379E"/>
    <w:rsid w:val="001E3925"/>
    <w:rsid w:val="001E492D"/>
    <w:rsid w:val="001E4BD3"/>
    <w:rsid w:val="001E5301"/>
    <w:rsid w:val="001E666F"/>
    <w:rsid w:val="001E6F5C"/>
    <w:rsid w:val="001E7998"/>
    <w:rsid w:val="001F0891"/>
    <w:rsid w:val="001F0C54"/>
    <w:rsid w:val="001F1745"/>
    <w:rsid w:val="001F25D1"/>
    <w:rsid w:val="001F27BA"/>
    <w:rsid w:val="001F346F"/>
    <w:rsid w:val="001F3872"/>
    <w:rsid w:val="001F515A"/>
    <w:rsid w:val="001F6222"/>
    <w:rsid w:val="001F6B3A"/>
    <w:rsid w:val="001F7028"/>
    <w:rsid w:val="001F7EAA"/>
    <w:rsid w:val="00200931"/>
    <w:rsid w:val="00200D7D"/>
    <w:rsid w:val="002011B0"/>
    <w:rsid w:val="0020156A"/>
    <w:rsid w:val="00201874"/>
    <w:rsid w:val="00202680"/>
    <w:rsid w:val="00204104"/>
    <w:rsid w:val="00204984"/>
    <w:rsid w:val="00205EE1"/>
    <w:rsid w:val="00206C96"/>
    <w:rsid w:val="002101F1"/>
    <w:rsid w:val="00210329"/>
    <w:rsid w:val="002114A4"/>
    <w:rsid w:val="00212AB9"/>
    <w:rsid w:val="00212FD6"/>
    <w:rsid w:val="00214082"/>
    <w:rsid w:val="0021607D"/>
    <w:rsid w:val="0021666A"/>
    <w:rsid w:val="00217D21"/>
    <w:rsid w:val="0022222D"/>
    <w:rsid w:val="00222409"/>
    <w:rsid w:val="00222D1D"/>
    <w:rsid w:val="00223BB3"/>
    <w:rsid w:val="00223D62"/>
    <w:rsid w:val="00224E1C"/>
    <w:rsid w:val="00226654"/>
    <w:rsid w:val="00226745"/>
    <w:rsid w:val="00227591"/>
    <w:rsid w:val="00231A8E"/>
    <w:rsid w:val="0023266A"/>
    <w:rsid w:val="002329DA"/>
    <w:rsid w:val="00233462"/>
    <w:rsid w:val="00233821"/>
    <w:rsid w:val="00236176"/>
    <w:rsid w:val="00236556"/>
    <w:rsid w:val="00236B0E"/>
    <w:rsid w:val="00236BA9"/>
    <w:rsid w:val="00237570"/>
    <w:rsid w:val="00240088"/>
    <w:rsid w:val="002405B0"/>
    <w:rsid w:val="00242437"/>
    <w:rsid w:val="00245A26"/>
    <w:rsid w:val="002464B1"/>
    <w:rsid w:val="00246AC7"/>
    <w:rsid w:val="00250191"/>
    <w:rsid w:val="00251C33"/>
    <w:rsid w:val="00254F05"/>
    <w:rsid w:val="00257A8D"/>
    <w:rsid w:val="002601F6"/>
    <w:rsid w:val="00262035"/>
    <w:rsid w:val="00263296"/>
    <w:rsid w:val="00263330"/>
    <w:rsid w:val="002644C7"/>
    <w:rsid w:val="00265926"/>
    <w:rsid w:val="00265AE5"/>
    <w:rsid w:val="002704D6"/>
    <w:rsid w:val="0027089F"/>
    <w:rsid w:val="00270E93"/>
    <w:rsid w:val="002711AE"/>
    <w:rsid w:val="00271254"/>
    <w:rsid w:val="00272ADE"/>
    <w:rsid w:val="00273603"/>
    <w:rsid w:val="00274269"/>
    <w:rsid w:val="002745E0"/>
    <w:rsid w:val="0027585B"/>
    <w:rsid w:val="00275A9D"/>
    <w:rsid w:val="0028227F"/>
    <w:rsid w:val="00283A10"/>
    <w:rsid w:val="00285022"/>
    <w:rsid w:val="002855E3"/>
    <w:rsid w:val="002878BD"/>
    <w:rsid w:val="002911B9"/>
    <w:rsid w:val="0029228F"/>
    <w:rsid w:val="00293EA4"/>
    <w:rsid w:val="0029526B"/>
    <w:rsid w:val="002969EC"/>
    <w:rsid w:val="00297D53"/>
    <w:rsid w:val="002A0B7E"/>
    <w:rsid w:val="002A13AA"/>
    <w:rsid w:val="002A1F77"/>
    <w:rsid w:val="002A2795"/>
    <w:rsid w:val="002A3189"/>
    <w:rsid w:val="002A3BBC"/>
    <w:rsid w:val="002A3FC0"/>
    <w:rsid w:val="002A5F76"/>
    <w:rsid w:val="002A67E9"/>
    <w:rsid w:val="002A698E"/>
    <w:rsid w:val="002A6A8F"/>
    <w:rsid w:val="002B19DD"/>
    <w:rsid w:val="002B20D7"/>
    <w:rsid w:val="002B2ED9"/>
    <w:rsid w:val="002B3025"/>
    <w:rsid w:val="002B383B"/>
    <w:rsid w:val="002B3D40"/>
    <w:rsid w:val="002B3DE5"/>
    <w:rsid w:val="002B488D"/>
    <w:rsid w:val="002B4F4A"/>
    <w:rsid w:val="002B4FB6"/>
    <w:rsid w:val="002B5860"/>
    <w:rsid w:val="002C083E"/>
    <w:rsid w:val="002C09D8"/>
    <w:rsid w:val="002C1907"/>
    <w:rsid w:val="002C2DF2"/>
    <w:rsid w:val="002C2EB0"/>
    <w:rsid w:val="002C3065"/>
    <w:rsid w:val="002C34F3"/>
    <w:rsid w:val="002C4F03"/>
    <w:rsid w:val="002C642E"/>
    <w:rsid w:val="002C67A0"/>
    <w:rsid w:val="002C67CD"/>
    <w:rsid w:val="002C7491"/>
    <w:rsid w:val="002C78AA"/>
    <w:rsid w:val="002C792F"/>
    <w:rsid w:val="002D07D9"/>
    <w:rsid w:val="002D13A6"/>
    <w:rsid w:val="002D204D"/>
    <w:rsid w:val="002D3C03"/>
    <w:rsid w:val="002D43C0"/>
    <w:rsid w:val="002D50DE"/>
    <w:rsid w:val="002D5F2F"/>
    <w:rsid w:val="002D7183"/>
    <w:rsid w:val="002E0AEF"/>
    <w:rsid w:val="002E1232"/>
    <w:rsid w:val="002E19F4"/>
    <w:rsid w:val="002E3760"/>
    <w:rsid w:val="002E3ADA"/>
    <w:rsid w:val="002E400D"/>
    <w:rsid w:val="002E4D4F"/>
    <w:rsid w:val="002E73DD"/>
    <w:rsid w:val="002E7729"/>
    <w:rsid w:val="002E7FC0"/>
    <w:rsid w:val="002F161B"/>
    <w:rsid w:val="002F1677"/>
    <w:rsid w:val="002F1E8A"/>
    <w:rsid w:val="002F2C54"/>
    <w:rsid w:val="002F3749"/>
    <w:rsid w:val="002F3DB7"/>
    <w:rsid w:val="002F5CF4"/>
    <w:rsid w:val="002F70B1"/>
    <w:rsid w:val="002F780D"/>
    <w:rsid w:val="00300490"/>
    <w:rsid w:val="0030069A"/>
    <w:rsid w:val="003027BE"/>
    <w:rsid w:val="003029D2"/>
    <w:rsid w:val="003036D2"/>
    <w:rsid w:val="00304468"/>
    <w:rsid w:val="0030530B"/>
    <w:rsid w:val="00310B4C"/>
    <w:rsid w:val="003125D4"/>
    <w:rsid w:val="0031401E"/>
    <w:rsid w:val="003145DE"/>
    <w:rsid w:val="003158DC"/>
    <w:rsid w:val="003158F1"/>
    <w:rsid w:val="00315EB8"/>
    <w:rsid w:val="003162BC"/>
    <w:rsid w:val="0031763A"/>
    <w:rsid w:val="00317CFB"/>
    <w:rsid w:val="0032058F"/>
    <w:rsid w:val="00321736"/>
    <w:rsid w:val="0032318D"/>
    <w:rsid w:val="00323FC0"/>
    <w:rsid w:val="00324577"/>
    <w:rsid w:val="00325D7A"/>
    <w:rsid w:val="003262CD"/>
    <w:rsid w:val="00326FF3"/>
    <w:rsid w:val="003277FA"/>
    <w:rsid w:val="00330C22"/>
    <w:rsid w:val="0033175A"/>
    <w:rsid w:val="00333773"/>
    <w:rsid w:val="00333B13"/>
    <w:rsid w:val="003363A0"/>
    <w:rsid w:val="003369FA"/>
    <w:rsid w:val="003376CC"/>
    <w:rsid w:val="003402A8"/>
    <w:rsid w:val="00340894"/>
    <w:rsid w:val="00340A2A"/>
    <w:rsid w:val="003415FD"/>
    <w:rsid w:val="0034169A"/>
    <w:rsid w:val="00341FD1"/>
    <w:rsid w:val="00343A30"/>
    <w:rsid w:val="00351355"/>
    <w:rsid w:val="00351B2A"/>
    <w:rsid w:val="00351F7A"/>
    <w:rsid w:val="00353254"/>
    <w:rsid w:val="00353E94"/>
    <w:rsid w:val="003543C1"/>
    <w:rsid w:val="00354C74"/>
    <w:rsid w:val="003557BE"/>
    <w:rsid w:val="00362371"/>
    <w:rsid w:val="0036285D"/>
    <w:rsid w:val="00363B69"/>
    <w:rsid w:val="00363E74"/>
    <w:rsid w:val="0036407F"/>
    <w:rsid w:val="00364465"/>
    <w:rsid w:val="003648D9"/>
    <w:rsid w:val="00365708"/>
    <w:rsid w:val="00366D7A"/>
    <w:rsid w:val="00367184"/>
    <w:rsid w:val="003700CC"/>
    <w:rsid w:val="00370538"/>
    <w:rsid w:val="00370594"/>
    <w:rsid w:val="00370E17"/>
    <w:rsid w:val="00371074"/>
    <w:rsid w:val="00371DB9"/>
    <w:rsid w:val="003747AE"/>
    <w:rsid w:val="0037576D"/>
    <w:rsid w:val="00375CF5"/>
    <w:rsid w:val="003764C5"/>
    <w:rsid w:val="00377954"/>
    <w:rsid w:val="00380948"/>
    <w:rsid w:val="00381451"/>
    <w:rsid w:val="00381776"/>
    <w:rsid w:val="0038271A"/>
    <w:rsid w:val="00383FFD"/>
    <w:rsid w:val="00385568"/>
    <w:rsid w:val="00385799"/>
    <w:rsid w:val="00385A3E"/>
    <w:rsid w:val="00386FF6"/>
    <w:rsid w:val="00390523"/>
    <w:rsid w:val="003914BB"/>
    <w:rsid w:val="003917A4"/>
    <w:rsid w:val="00392161"/>
    <w:rsid w:val="0039277F"/>
    <w:rsid w:val="00392C99"/>
    <w:rsid w:val="003939D7"/>
    <w:rsid w:val="00393C2D"/>
    <w:rsid w:val="00394599"/>
    <w:rsid w:val="0039507B"/>
    <w:rsid w:val="00397772"/>
    <w:rsid w:val="003A0173"/>
    <w:rsid w:val="003A17FC"/>
    <w:rsid w:val="003A27CA"/>
    <w:rsid w:val="003A3881"/>
    <w:rsid w:val="003A4E65"/>
    <w:rsid w:val="003A54C7"/>
    <w:rsid w:val="003A5503"/>
    <w:rsid w:val="003A5CFE"/>
    <w:rsid w:val="003A5D4F"/>
    <w:rsid w:val="003A6953"/>
    <w:rsid w:val="003A7A84"/>
    <w:rsid w:val="003B0589"/>
    <w:rsid w:val="003B14B1"/>
    <w:rsid w:val="003B184B"/>
    <w:rsid w:val="003B1FBB"/>
    <w:rsid w:val="003B27C9"/>
    <w:rsid w:val="003B2FB0"/>
    <w:rsid w:val="003B48EB"/>
    <w:rsid w:val="003B6ECB"/>
    <w:rsid w:val="003C0661"/>
    <w:rsid w:val="003C0BF9"/>
    <w:rsid w:val="003C1255"/>
    <w:rsid w:val="003C3127"/>
    <w:rsid w:val="003C315B"/>
    <w:rsid w:val="003C4C89"/>
    <w:rsid w:val="003C558F"/>
    <w:rsid w:val="003C66E0"/>
    <w:rsid w:val="003C67EA"/>
    <w:rsid w:val="003D0E48"/>
    <w:rsid w:val="003D2211"/>
    <w:rsid w:val="003D2B36"/>
    <w:rsid w:val="003D4270"/>
    <w:rsid w:val="003D4476"/>
    <w:rsid w:val="003D6896"/>
    <w:rsid w:val="003D756B"/>
    <w:rsid w:val="003D784F"/>
    <w:rsid w:val="003D7CBE"/>
    <w:rsid w:val="003E00A9"/>
    <w:rsid w:val="003E34D8"/>
    <w:rsid w:val="003E3B62"/>
    <w:rsid w:val="003E5495"/>
    <w:rsid w:val="003E7D67"/>
    <w:rsid w:val="003F37E2"/>
    <w:rsid w:val="003F3975"/>
    <w:rsid w:val="003F5401"/>
    <w:rsid w:val="003F7FE2"/>
    <w:rsid w:val="004006F7"/>
    <w:rsid w:val="00401F19"/>
    <w:rsid w:val="004029A8"/>
    <w:rsid w:val="00402C54"/>
    <w:rsid w:val="00402DD4"/>
    <w:rsid w:val="00403D10"/>
    <w:rsid w:val="004042CA"/>
    <w:rsid w:val="0040498E"/>
    <w:rsid w:val="00404B51"/>
    <w:rsid w:val="00405030"/>
    <w:rsid w:val="004057AB"/>
    <w:rsid w:val="00406D2B"/>
    <w:rsid w:val="00411579"/>
    <w:rsid w:val="004117D0"/>
    <w:rsid w:val="00411927"/>
    <w:rsid w:val="0041194F"/>
    <w:rsid w:val="00412DEF"/>
    <w:rsid w:val="00413B52"/>
    <w:rsid w:val="00413CD2"/>
    <w:rsid w:val="0041425C"/>
    <w:rsid w:val="00414B70"/>
    <w:rsid w:val="00414CDD"/>
    <w:rsid w:val="0041500C"/>
    <w:rsid w:val="004161A5"/>
    <w:rsid w:val="004203DA"/>
    <w:rsid w:val="00420E9E"/>
    <w:rsid w:val="00421E46"/>
    <w:rsid w:val="0042297E"/>
    <w:rsid w:val="00423B09"/>
    <w:rsid w:val="0042479D"/>
    <w:rsid w:val="00425085"/>
    <w:rsid w:val="0042612C"/>
    <w:rsid w:val="00426D0D"/>
    <w:rsid w:val="004273DB"/>
    <w:rsid w:val="00430550"/>
    <w:rsid w:val="0043223D"/>
    <w:rsid w:val="00432EA2"/>
    <w:rsid w:val="0043346A"/>
    <w:rsid w:val="00434830"/>
    <w:rsid w:val="004362B9"/>
    <w:rsid w:val="00436F25"/>
    <w:rsid w:val="00437900"/>
    <w:rsid w:val="00440C9B"/>
    <w:rsid w:val="004418E4"/>
    <w:rsid w:val="00442455"/>
    <w:rsid w:val="00446007"/>
    <w:rsid w:val="00447482"/>
    <w:rsid w:val="0045098C"/>
    <w:rsid w:val="00450BE9"/>
    <w:rsid w:val="00452175"/>
    <w:rsid w:val="004545DD"/>
    <w:rsid w:val="00454AAA"/>
    <w:rsid w:val="00455B80"/>
    <w:rsid w:val="004565ED"/>
    <w:rsid w:val="00457ACC"/>
    <w:rsid w:val="00457CA7"/>
    <w:rsid w:val="00460F51"/>
    <w:rsid w:val="0046199D"/>
    <w:rsid w:val="00462975"/>
    <w:rsid w:val="00463D23"/>
    <w:rsid w:val="00464067"/>
    <w:rsid w:val="00465BD6"/>
    <w:rsid w:val="0046637F"/>
    <w:rsid w:val="00467BA7"/>
    <w:rsid w:val="0047061E"/>
    <w:rsid w:val="00473D90"/>
    <w:rsid w:val="00474219"/>
    <w:rsid w:val="00474B60"/>
    <w:rsid w:val="00474CE2"/>
    <w:rsid w:val="00476610"/>
    <w:rsid w:val="00476C12"/>
    <w:rsid w:val="0048001C"/>
    <w:rsid w:val="004827E2"/>
    <w:rsid w:val="00482858"/>
    <w:rsid w:val="00485114"/>
    <w:rsid w:val="004868FF"/>
    <w:rsid w:val="00487BDE"/>
    <w:rsid w:val="00487F70"/>
    <w:rsid w:val="0049354D"/>
    <w:rsid w:val="00493E92"/>
    <w:rsid w:val="0049410B"/>
    <w:rsid w:val="00495E3A"/>
    <w:rsid w:val="004962F2"/>
    <w:rsid w:val="00496B3D"/>
    <w:rsid w:val="004970CB"/>
    <w:rsid w:val="00497BB0"/>
    <w:rsid w:val="004A0F5A"/>
    <w:rsid w:val="004A1751"/>
    <w:rsid w:val="004A1882"/>
    <w:rsid w:val="004A1CB4"/>
    <w:rsid w:val="004A2A3E"/>
    <w:rsid w:val="004A4DE5"/>
    <w:rsid w:val="004A5A5D"/>
    <w:rsid w:val="004A5AEF"/>
    <w:rsid w:val="004A5B4A"/>
    <w:rsid w:val="004A5CE5"/>
    <w:rsid w:val="004A6573"/>
    <w:rsid w:val="004A65EB"/>
    <w:rsid w:val="004B1D8D"/>
    <w:rsid w:val="004B2BA7"/>
    <w:rsid w:val="004B2C1F"/>
    <w:rsid w:val="004B43AD"/>
    <w:rsid w:val="004B45AB"/>
    <w:rsid w:val="004B4AD4"/>
    <w:rsid w:val="004B695F"/>
    <w:rsid w:val="004B7A51"/>
    <w:rsid w:val="004C0030"/>
    <w:rsid w:val="004C039B"/>
    <w:rsid w:val="004C0989"/>
    <w:rsid w:val="004C24D6"/>
    <w:rsid w:val="004C3296"/>
    <w:rsid w:val="004C3C10"/>
    <w:rsid w:val="004C3FBD"/>
    <w:rsid w:val="004C436C"/>
    <w:rsid w:val="004C588E"/>
    <w:rsid w:val="004C5AD2"/>
    <w:rsid w:val="004C5E50"/>
    <w:rsid w:val="004D017D"/>
    <w:rsid w:val="004D19CB"/>
    <w:rsid w:val="004D1A47"/>
    <w:rsid w:val="004D3407"/>
    <w:rsid w:val="004D6352"/>
    <w:rsid w:val="004E3898"/>
    <w:rsid w:val="004E47A0"/>
    <w:rsid w:val="004E53F3"/>
    <w:rsid w:val="004E5402"/>
    <w:rsid w:val="004E5601"/>
    <w:rsid w:val="004E6F09"/>
    <w:rsid w:val="004E7432"/>
    <w:rsid w:val="004F08AC"/>
    <w:rsid w:val="004F0977"/>
    <w:rsid w:val="004F3674"/>
    <w:rsid w:val="004F4834"/>
    <w:rsid w:val="004F53FA"/>
    <w:rsid w:val="004F6706"/>
    <w:rsid w:val="004F793C"/>
    <w:rsid w:val="00500111"/>
    <w:rsid w:val="005001B3"/>
    <w:rsid w:val="00502016"/>
    <w:rsid w:val="0050212E"/>
    <w:rsid w:val="00502A41"/>
    <w:rsid w:val="00504329"/>
    <w:rsid w:val="005043CF"/>
    <w:rsid w:val="005044A0"/>
    <w:rsid w:val="005047C6"/>
    <w:rsid w:val="0050496F"/>
    <w:rsid w:val="00506447"/>
    <w:rsid w:val="00506814"/>
    <w:rsid w:val="00507E1D"/>
    <w:rsid w:val="00511407"/>
    <w:rsid w:val="005121DD"/>
    <w:rsid w:val="005124FD"/>
    <w:rsid w:val="00514B43"/>
    <w:rsid w:val="0051520A"/>
    <w:rsid w:val="00517BEE"/>
    <w:rsid w:val="00521C1C"/>
    <w:rsid w:val="00524D00"/>
    <w:rsid w:val="00525961"/>
    <w:rsid w:val="00526F4B"/>
    <w:rsid w:val="0052734B"/>
    <w:rsid w:val="00527C18"/>
    <w:rsid w:val="00530028"/>
    <w:rsid w:val="00530CC3"/>
    <w:rsid w:val="00530D2F"/>
    <w:rsid w:val="005317F4"/>
    <w:rsid w:val="0053181B"/>
    <w:rsid w:val="005339A2"/>
    <w:rsid w:val="00533C4E"/>
    <w:rsid w:val="00534D3E"/>
    <w:rsid w:val="00537181"/>
    <w:rsid w:val="005372FC"/>
    <w:rsid w:val="00537864"/>
    <w:rsid w:val="00537C4B"/>
    <w:rsid w:val="00537EED"/>
    <w:rsid w:val="0054041A"/>
    <w:rsid w:val="00540B0B"/>
    <w:rsid w:val="005411C7"/>
    <w:rsid w:val="00541D40"/>
    <w:rsid w:val="00542842"/>
    <w:rsid w:val="00542FE1"/>
    <w:rsid w:val="00543AC5"/>
    <w:rsid w:val="00543FF6"/>
    <w:rsid w:val="00544797"/>
    <w:rsid w:val="00544A86"/>
    <w:rsid w:val="0054779F"/>
    <w:rsid w:val="005508AD"/>
    <w:rsid w:val="005510D4"/>
    <w:rsid w:val="00551D66"/>
    <w:rsid w:val="005521F0"/>
    <w:rsid w:val="005532F9"/>
    <w:rsid w:val="00553807"/>
    <w:rsid w:val="00555271"/>
    <w:rsid w:val="00556B88"/>
    <w:rsid w:val="00557779"/>
    <w:rsid w:val="0055785C"/>
    <w:rsid w:val="00557D3C"/>
    <w:rsid w:val="00557DAC"/>
    <w:rsid w:val="00561D68"/>
    <w:rsid w:val="005623BB"/>
    <w:rsid w:val="00562C1D"/>
    <w:rsid w:val="00564159"/>
    <w:rsid w:val="00564A4C"/>
    <w:rsid w:val="005657C3"/>
    <w:rsid w:val="005709A2"/>
    <w:rsid w:val="00573257"/>
    <w:rsid w:val="005739F7"/>
    <w:rsid w:val="005751C8"/>
    <w:rsid w:val="0058390E"/>
    <w:rsid w:val="00583DD9"/>
    <w:rsid w:val="0058493C"/>
    <w:rsid w:val="00584A6E"/>
    <w:rsid w:val="005852E0"/>
    <w:rsid w:val="00585DB1"/>
    <w:rsid w:val="00586A8A"/>
    <w:rsid w:val="00587251"/>
    <w:rsid w:val="00587766"/>
    <w:rsid w:val="005910CE"/>
    <w:rsid w:val="00591D0F"/>
    <w:rsid w:val="00593CED"/>
    <w:rsid w:val="00595498"/>
    <w:rsid w:val="005968EF"/>
    <w:rsid w:val="00596B6F"/>
    <w:rsid w:val="00596B88"/>
    <w:rsid w:val="00597B77"/>
    <w:rsid w:val="005A0419"/>
    <w:rsid w:val="005A12EA"/>
    <w:rsid w:val="005A1B70"/>
    <w:rsid w:val="005A1FF8"/>
    <w:rsid w:val="005A2581"/>
    <w:rsid w:val="005A26C1"/>
    <w:rsid w:val="005A3600"/>
    <w:rsid w:val="005A4053"/>
    <w:rsid w:val="005A60CB"/>
    <w:rsid w:val="005A7074"/>
    <w:rsid w:val="005A7556"/>
    <w:rsid w:val="005A7BD2"/>
    <w:rsid w:val="005B0A48"/>
    <w:rsid w:val="005B1551"/>
    <w:rsid w:val="005B4F7B"/>
    <w:rsid w:val="005B7101"/>
    <w:rsid w:val="005C10D8"/>
    <w:rsid w:val="005C2BC2"/>
    <w:rsid w:val="005C335E"/>
    <w:rsid w:val="005C3D28"/>
    <w:rsid w:val="005C43A5"/>
    <w:rsid w:val="005C443A"/>
    <w:rsid w:val="005C4FE3"/>
    <w:rsid w:val="005C513C"/>
    <w:rsid w:val="005C5560"/>
    <w:rsid w:val="005C5911"/>
    <w:rsid w:val="005C5E3A"/>
    <w:rsid w:val="005C667D"/>
    <w:rsid w:val="005C7B28"/>
    <w:rsid w:val="005D0A18"/>
    <w:rsid w:val="005D124C"/>
    <w:rsid w:val="005D1A30"/>
    <w:rsid w:val="005D241C"/>
    <w:rsid w:val="005D5752"/>
    <w:rsid w:val="005D5ED1"/>
    <w:rsid w:val="005D6AAE"/>
    <w:rsid w:val="005D7AD7"/>
    <w:rsid w:val="005D7F35"/>
    <w:rsid w:val="005E0193"/>
    <w:rsid w:val="005E22A6"/>
    <w:rsid w:val="005E2E01"/>
    <w:rsid w:val="005E3055"/>
    <w:rsid w:val="005E31FA"/>
    <w:rsid w:val="005E563C"/>
    <w:rsid w:val="005E5D46"/>
    <w:rsid w:val="005E77AC"/>
    <w:rsid w:val="005E7F50"/>
    <w:rsid w:val="005F06A4"/>
    <w:rsid w:val="005F0954"/>
    <w:rsid w:val="005F21AD"/>
    <w:rsid w:val="005F2C10"/>
    <w:rsid w:val="005F2E9F"/>
    <w:rsid w:val="005F3354"/>
    <w:rsid w:val="005F3CAF"/>
    <w:rsid w:val="005F423E"/>
    <w:rsid w:val="005F6354"/>
    <w:rsid w:val="005F64BA"/>
    <w:rsid w:val="005F651A"/>
    <w:rsid w:val="005F674C"/>
    <w:rsid w:val="005F6BCC"/>
    <w:rsid w:val="00600027"/>
    <w:rsid w:val="0060039E"/>
    <w:rsid w:val="006038D9"/>
    <w:rsid w:val="00604B55"/>
    <w:rsid w:val="0060553B"/>
    <w:rsid w:val="006063D6"/>
    <w:rsid w:val="006067E7"/>
    <w:rsid w:val="006076CD"/>
    <w:rsid w:val="006113F2"/>
    <w:rsid w:val="006114A2"/>
    <w:rsid w:val="00612128"/>
    <w:rsid w:val="00612F1B"/>
    <w:rsid w:val="00613EF6"/>
    <w:rsid w:val="00613FBF"/>
    <w:rsid w:val="0061423F"/>
    <w:rsid w:val="00614EBB"/>
    <w:rsid w:val="00615257"/>
    <w:rsid w:val="00615408"/>
    <w:rsid w:val="006164D3"/>
    <w:rsid w:val="0061704E"/>
    <w:rsid w:val="0061750D"/>
    <w:rsid w:val="006204F5"/>
    <w:rsid w:val="006211E2"/>
    <w:rsid w:val="006212D1"/>
    <w:rsid w:val="0062224D"/>
    <w:rsid w:val="00622970"/>
    <w:rsid w:val="00623BB6"/>
    <w:rsid w:val="00624089"/>
    <w:rsid w:val="00624F3C"/>
    <w:rsid w:val="00625066"/>
    <w:rsid w:val="006251D9"/>
    <w:rsid w:val="006252AD"/>
    <w:rsid w:val="0062556D"/>
    <w:rsid w:val="006255CE"/>
    <w:rsid w:val="00625696"/>
    <w:rsid w:val="006265D5"/>
    <w:rsid w:val="006266F0"/>
    <w:rsid w:val="00627271"/>
    <w:rsid w:val="006276D0"/>
    <w:rsid w:val="00630EBD"/>
    <w:rsid w:val="00631465"/>
    <w:rsid w:val="006317A5"/>
    <w:rsid w:val="00633787"/>
    <w:rsid w:val="00634146"/>
    <w:rsid w:val="00634E67"/>
    <w:rsid w:val="00635CB0"/>
    <w:rsid w:val="0063660D"/>
    <w:rsid w:val="0063661C"/>
    <w:rsid w:val="006373AB"/>
    <w:rsid w:val="00641AC6"/>
    <w:rsid w:val="006427A0"/>
    <w:rsid w:val="006427F4"/>
    <w:rsid w:val="00642B63"/>
    <w:rsid w:val="006431D1"/>
    <w:rsid w:val="00643354"/>
    <w:rsid w:val="00643B90"/>
    <w:rsid w:val="006464F9"/>
    <w:rsid w:val="006479A8"/>
    <w:rsid w:val="00650688"/>
    <w:rsid w:val="006518DF"/>
    <w:rsid w:val="00651B7C"/>
    <w:rsid w:val="00652DDA"/>
    <w:rsid w:val="006537BE"/>
    <w:rsid w:val="00653E2E"/>
    <w:rsid w:val="00654F97"/>
    <w:rsid w:val="00655851"/>
    <w:rsid w:val="00655892"/>
    <w:rsid w:val="006561B1"/>
    <w:rsid w:val="00656D99"/>
    <w:rsid w:val="00656FA4"/>
    <w:rsid w:val="0065764D"/>
    <w:rsid w:val="00657DBA"/>
    <w:rsid w:val="00661147"/>
    <w:rsid w:val="0066414D"/>
    <w:rsid w:val="006645D6"/>
    <w:rsid w:val="00666206"/>
    <w:rsid w:val="00666C82"/>
    <w:rsid w:val="00667CC0"/>
    <w:rsid w:val="006712EB"/>
    <w:rsid w:val="006716ED"/>
    <w:rsid w:val="0067221D"/>
    <w:rsid w:val="00672B62"/>
    <w:rsid w:val="00672D3F"/>
    <w:rsid w:val="00672E1A"/>
    <w:rsid w:val="00673100"/>
    <w:rsid w:val="00673673"/>
    <w:rsid w:val="0067443C"/>
    <w:rsid w:val="0067462B"/>
    <w:rsid w:val="006765E5"/>
    <w:rsid w:val="00676AA7"/>
    <w:rsid w:val="00677C0B"/>
    <w:rsid w:val="00680290"/>
    <w:rsid w:val="00681136"/>
    <w:rsid w:val="00681408"/>
    <w:rsid w:val="00682DDB"/>
    <w:rsid w:val="006838D2"/>
    <w:rsid w:val="0068544C"/>
    <w:rsid w:val="00685946"/>
    <w:rsid w:val="00686711"/>
    <w:rsid w:val="00687D88"/>
    <w:rsid w:val="00690247"/>
    <w:rsid w:val="00690889"/>
    <w:rsid w:val="006925DB"/>
    <w:rsid w:val="00692B42"/>
    <w:rsid w:val="00692C72"/>
    <w:rsid w:val="00693A4F"/>
    <w:rsid w:val="00693F97"/>
    <w:rsid w:val="006955C5"/>
    <w:rsid w:val="00696213"/>
    <w:rsid w:val="00696853"/>
    <w:rsid w:val="006A0901"/>
    <w:rsid w:val="006A1701"/>
    <w:rsid w:val="006A2439"/>
    <w:rsid w:val="006A3039"/>
    <w:rsid w:val="006A4AE3"/>
    <w:rsid w:val="006A59A5"/>
    <w:rsid w:val="006A70D0"/>
    <w:rsid w:val="006B11DD"/>
    <w:rsid w:val="006B347C"/>
    <w:rsid w:val="006B39CC"/>
    <w:rsid w:val="006B544F"/>
    <w:rsid w:val="006B647A"/>
    <w:rsid w:val="006C0276"/>
    <w:rsid w:val="006C116E"/>
    <w:rsid w:val="006C1E4C"/>
    <w:rsid w:val="006C2EE4"/>
    <w:rsid w:val="006C345C"/>
    <w:rsid w:val="006C3545"/>
    <w:rsid w:val="006C3F66"/>
    <w:rsid w:val="006C412B"/>
    <w:rsid w:val="006C6A98"/>
    <w:rsid w:val="006C6DCB"/>
    <w:rsid w:val="006D0509"/>
    <w:rsid w:val="006D1840"/>
    <w:rsid w:val="006D2F2B"/>
    <w:rsid w:val="006D3A1C"/>
    <w:rsid w:val="006D3C6F"/>
    <w:rsid w:val="006D4962"/>
    <w:rsid w:val="006D49EE"/>
    <w:rsid w:val="006D52E8"/>
    <w:rsid w:val="006D7555"/>
    <w:rsid w:val="006E1273"/>
    <w:rsid w:val="006E1E35"/>
    <w:rsid w:val="006E2701"/>
    <w:rsid w:val="006E436F"/>
    <w:rsid w:val="006E43E9"/>
    <w:rsid w:val="006E5BD5"/>
    <w:rsid w:val="006E6547"/>
    <w:rsid w:val="006E6D9B"/>
    <w:rsid w:val="006E73BB"/>
    <w:rsid w:val="006E7402"/>
    <w:rsid w:val="006E7E57"/>
    <w:rsid w:val="006F0C97"/>
    <w:rsid w:val="006F19D2"/>
    <w:rsid w:val="006F264F"/>
    <w:rsid w:val="006F324D"/>
    <w:rsid w:val="006F3A7A"/>
    <w:rsid w:val="006F3A93"/>
    <w:rsid w:val="006F6AEE"/>
    <w:rsid w:val="006F6AFD"/>
    <w:rsid w:val="0070226E"/>
    <w:rsid w:val="00702B7F"/>
    <w:rsid w:val="007031E4"/>
    <w:rsid w:val="007042BF"/>
    <w:rsid w:val="00704781"/>
    <w:rsid w:val="0070541B"/>
    <w:rsid w:val="007067A7"/>
    <w:rsid w:val="00707BCA"/>
    <w:rsid w:val="00707FFD"/>
    <w:rsid w:val="00710CF5"/>
    <w:rsid w:val="0071178C"/>
    <w:rsid w:val="00711E64"/>
    <w:rsid w:val="00715806"/>
    <w:rsid w:val="0071632B"/>
    <w:rsid w:val="007163C0"/>
    <w:rsid w:val="007166D6"/>
    <w:rsid w:val="00716F2E"/>
    <w:rsid w:val="00717FAF"/>
    <w:rsid w:val="0072000F"/>
    <w:rsid w:val="00720E62"/>
    <w:rsid w:val="00721122"/>
    <w:rsid w:val="00721D02"/>
    <w:rsid w:val="00721F4D"/>
    <w:rsid w:val="00722575"/>
    <w:rsid w:val="007233E5"/>
    <w:rsid w:val="00723562"/>
    <w:rsid w:val="00723E87"/>
    <w:rsid w:val="00724864"/>
    <w:rsid w:val="00724E64"/>
    <w:rsid w:val="00726E59"/>
    <w:rsid w:val="00730534"/>
    <w:rsid w:val="007319B9"/>
    <w:rsid w:val="00731E31"/>
    <w:rsid w:val="007329EC"/>
    <w:rsid w:val="00732CD1"/>
    <w:rsid w:val="007331D9"/>
    <w:rsid w:val="00733485"/>
    <w:rsid w:val="007336E8"/>
    <w:rsid w:val="00733F0B"/>
    <w:rsid w:val="007352F7"/>
    <w:rsid w:val="00735C0C"/>
    <w:rsid w:val="00735EC8"/>
    <w:rsid w:val="0073739F"/>
    <w:rsid w:val="00741029"/>
    <w:rsid w:val="007415CE"/>
    <w:rsid w:val="007415E3"/>
    <w:rsid w:val="00741D59"/>
    <w:rsid w:val="00745A65"/>
    <w:rsid w:val="0074695A"/>
    <w:rsid w:val="0074779C"/>
    <w:rsid w:val="00747B3D"/>
    <w:rsid w:val="00747BEB"/>
    <w:rsid w:val="00750BEF"/>
    <w:rsid w:val="00750E0B"/>
    <w:rsid w:val="00750F49"/>
    <w:rsid w:val="00751FF3"/>
    <w:rsid w:val="007559D5"/>
    <w:rsid w:val="00756FA4"/>
    <w:rsid w:val="00757F80"/>
    <w:rsid w:val="00762175"/>
    <w:rsid w:val="00762908"/>
    <w:rsid w:val="007633E6"/>
    <w:rsid w:val="0076439B"/>
    <w:rsid w:val="0076684F"/>
    <w:rsid w:val="00767C71"/>
    <w:rsid w:val="00770527"/>
    <w:rsid w:val="007708B9"/>
    <w:rsid w:val="0077223B"/>
    <w:rsid w:val="00772432"/>
    <w:rsid w:val="007736F8"/>
    <w:rsid w:val="0077435A"/>
    <w:rsid w:val="00777208"/>
    <w:rsid w:val="0078042E"/>
    <w:rsid w:val="0078284C"/>
    <w:rsid w:val="00783629"/>
    <w:rsid w:val="00783AA8"/>
    <w:rsid w:val="00784222"/>
    <w:rsid w:val="0078438A"/>
    <w:rsid w:val="00784907"/>
    <w:rsid w:val="00785667"/>
    <w:rsid w:val="00787157"/>
    <w:rsid w:val="0078755A"/>
    <w:rsid w:val="0078792D"/>
    <w:rsid w:val="00791AA2"/>
    <w:rsid w:val="00791E80"/>
    <w:rsid w:val="0079202B"/>
    <w:rsid w:val="00792326"/>
    <w:rsid w:val="00792DD0"/>
    <w:rsid w:val="007A10A6"/>
    <w:rsid w:val="007A302E"/>
    <w:rsid w:val="007A3440"/>
    <w:rsid w:val="007A41E8"/>
    <w:rsid w:val="007A4231"/>
    <w:rsid w:val="007A48FD"/>
    <w:rsid w:val="007A506E"/>
    <w:rsid w:val="007A539D"/>
    <w:rsid w:val="007A5DE8"/>
    <w:rsid w:val="007A67A2"/>
    <w:rsid w:val="007A756A"/>
    <w:rsid w:val="007B0B49"/>
    <w:rsid w:val="007B2510"/>
    <w:rsid w:val="007B3231"/>
    <w:rsid w:val="007C08C1"/>
    <w:rsid w:val="007C0A27"/>
    <w:rsid w:val="007C1C3C"/>
    <w:rsid w:val="007C24E7"/>
    <w:rsid w:val="007C2596"/>
    <w:rsid w:val="007C2FDF"/>
    <w:rsid w:val="007C3648"/>
    <w:rsid w:val="007C4633"/>
    <w:rsid w:val="007C6B08"/>
    <w:rsid w:val="007C6EBF"/>
    <w:rsid w:val="007D19FC"/>
    <w:rsid w:val="007D1C24"/>
    <w:rsid w:val="007D1D39"/>
    <w:rsid w:val="007D4069"/>
    <w:rsid w:val="007D4DFC"/>
    <w:rsid w:val="007D73B7"/>
    <w:rsid w:val="007D7DCF"/>
    <w:rsid w:val="007E19A3"/>
    <w:rsid w:val="007E1CC6"/>
    <w:rsid w:val="007E1DB3"/>
    <w:rsid w:val="007E29A0"/>
    <w:rsid w:val="007E35B0"/>
    <w:rsid w:val="007E435C"/>
    <w:rsid w:val="007E54D6"/>
    <w:rsid w:val="007E5CCD"/>
    <w:rsid w:val="007E7FF1"/>
    <w:rsid w:val="007F1210"/>
    <w:rsid w:val="007F1A53"/>
    <w:rsid w:val="007F23E8"/>
    <w:rsid w:val="007F2D35"/>
    <w:rsid w:val="007F30F5"/>
    <w:rsid w:val="007F3221"/>
    <w:rsid w:val="007F46AB"/>
    <w:rsid w:val="007F4B2C"/>
    <w:rsid w:val="007F6E08"/>
    <w:rsid w:val="0080270A"/>
    <w:rsid w:val="00803AF2"/>
    <w:rsid w:val="00803C93"/>
    <w:rsid w:val="00804BCC"/>
    <w:rsid w:val="00805384"/>
    <w:rsid w:val="008059FB"/>
    <w:rsid w:val="00805A88"/>
    <w:rsid w:val="00805FE8"/>
    <w:rsid w:val="00807490"/>
    <w:rsid w:val="008077D1"/>
    <w:rsid w:val="00807D34"/>
    <w:rsid w:val="00812A92"/>
    <w:rsid w:val="00814E11"/>
    <w:rsid w:val="00815BEE"/>
    <w:rsid w:val="008162A1"/>
    <w:rsid w:val="00816D13"/>
    <w:rsid w:val="00816FCB"/>
    <w:rsid w:val="0081701C"/>
    <w:rsid w:val="00817A7C"/>
    <w:rsid w:val="0082091F"/>
    <w:rsid w:val="00821E13"/>
    <w:rsid w:val="00822977"/>
    <w:rsid w:val="0082329A"/>
    <w:rsid w:val="00823AD0"/>
    <w:rsid w:val="00824735"/>
    <w:rsid w:val="008254D0"/>
    <w:rsid w:val="008257E6"/>
    <w:rsid w:val="0082627E"/>
    <w:rsid w:val="00827D9A"/>
    <w:rsid w:val="00830146"/>
    <w:rsid w:val="00830205"/>
    <w:rsid w:val="008305B6"/>
    <w:rsid w:val="00831717"/>
    <w:rsid w:val="008317F2"/>
    <w:rsid w:val="00831AB3"/>
    <w:rsid w:val="008325EA"/>
    <w:rsid w:val="00832C79"/>
    <w:rsid w:val="008335DD"/>
    <w:rsid w:val="00834BAC"/>
    <w:rsid w:val="00834DF6"/>
    <w:rsid w:val="00836648"/>
    <w:rsid w:val="00836D1A"/>
    <w:rsid w:val="00837C3E"/>
    <w:rsid w:val="0084076A"/>
    <w:rsid w:val="008416B1"/>
    <w:rsid w:val="00841E09"/>
    <w:rsid w:val="008432AA"/>
    <w:rsid w:val="00844A8C"/>
    <w:rsid w:val="008450D2"/>
    <w:rsid w:val="00845771"/>
    <w:rsid w:val="00845D0C"/>
    <w:rsid w:val="00847BD0"/>
    <w:rsid w:val="00850F15"/>
    <w:rsid w:val="0085182F"/>
    <w:rsid w:val="00854343"/>
    <w:rsid w:val="0085451E"/>
    <w:rsid w:val="00854AB7"/>
    <w:rsid w:val="00854AC9"/>
    <w:rsid w:val="00854FDC"/>
    <w:rsid w:val="00855E37"/>
    <w:rsid w:val="00856045"/>
    <w:rsid w:val="00856D3D"/>
    <w:rsid w:val="00857D12"/>
    <w:rsid w:val="00861D4B"/>
    <w:rsid w:val="00862039"/>
    <w:rsid w:val="008625C6"/>
    <w:rsid w:val="0086310C"/>
    <w:rsid w:val="0086543E"/>
    <w:rsid w:val="008677B3"/>
    <w:rsid w:val="008679F8"/>
    <w:rsid w:val="00867E78"/>
    <w:rsid w:val="00871E5B"/>
    <w:rsid w:val="008728E2"/>
    <w:rsid w:val="00872E59"/>
    <w:rsid w:val="0087463A"/>
    <w:rsid w:val="00876869"/>
    <w:rsid w:val="008778B2"/>
    <w:rsid w:val="00877C95"/>
    <w:rsid w:val="00877CBA"/>
    <w:rsid w:val="00880ADE"/>
    <w:rsid w:val="00880BB7"/>
    <w:rsid w:val="00882003"/>
    <w:rsid w:val="00882850"/>
    <w:rsid w:val="00882E70"/>
    <w:rsid w:val="00884575"/>
    <w:rsid w:val="00885070"/>
    <w:rsid w:val="0088515C"/>
    <w:rsid w:val="00886F01"/>
    <w:rsid w:val="00887AC9"/>
    <w:rsid w:val="00887CFC"/>
    <w:rsid w:val="00887ED2"/>
    <w:rsid w:val="0089062F"/>
    <w:rsid w:val="00890BF9"/>
    <w:rsid w:val="00890F1E"/>
    <w:rsid w:val="0089128F"/>
    <w:rsid w:val="00892D0B"/>
    <w:rsid w:val="00892DB0"/>
    <w:rsid w:val="00893811"/>
    <w:rsid w:val="00897EC9"/>
    <w:rsid w:val="008A12E9"/>
    <w:rsid w:val="008A15A8"/>
    <w:rsid w:val="008A4C8F"/>
    <w:rsid w:val="008A53D3"/>
    <w:rsid w:val="008A5497"/>
    <w:rsid w:val="008A6399"/>
    <w:rsid w:val="008A6BBD"/>
    <w:rsid w:val="008A7813"/>
    <w:rsid w:val="008A79C1"/>
    <w:rsid w:val="008A7A3B"/>
    <w:rsid w:val="008B186D"/>
    <w:rsid w:val="008B2A08"/>
    <w:rsid w:val="008B3EF0"/>
    <w:rsid w:val="008B40DC"/>
    <w:rsid w:val="008C030A"/>
    <w:rsid w:val="008C049E"/>
    <w:rsid w:val="008C0934"/>
    <w:rsid w:val="008C0E0A"/>
    <w:rsid w:val="008C14F1"/>
    <w:rsid w:val="008C24FF"/>
    <w:rsid w:val="008C26D3"/>
    <w:rsid w:val="008C2CBB"/>
    <w:rsid w:val="008C384D"/>
    <w:rsid w:val="008C3EE7"/>
    <w:rsid w:val="008C409B"/>
    <w:rsid w:val="008C4D9D"/>
    <w:rsid w:val="008C7C01"/>
    <w:rsid w:val="008D13E3"/>
    <w:rsid w:val="008D15C4"/>
    <w:rsid w:val="008D2B9C"/>
    <w:rsid w:val="008D513C"/>
    <w:rsid w:val="008D541D"/>
    <w:rsid w:val="008D5C19"/>
    <w:rsid w:val="008D6294"/>
    <w:rsid w:val="008D677C"/>
    <w:rsid w:val="008D73E6"/>
    <w:rsid w:val="008E05F6"/>
    <w:rsid w:val="008E0C9E"/>
    <w:rsid w:val="008E16B8"/>
    <w:rsid w:val="008E19DC"/>
    <w:rsid w:val="008E3B41"/>
    <w:rsid w:val="008E3B5D"/>
    <w:rsid w:val="008E4FFB"/>
    <w:rsid w:val="008F07D3"/>
    <w:rsid w:val="008F1A91"/>
    <w:rsid w:val="008F1BCE"/>
    <w:rsid w:val="008F3536"/>
    <w:rsid w:val="008F3E76"/>
    <w:rsid w:val="008F4F98"/>
    <w:rsid w:val="008F57DD"/>
    <w:rsid w:val="008F6538"/>
    <w:rsid w:val="008F6788"/>
    <w:rsid w:val="008F6C8E"/>
    <w:rsid w:val="00900DB8"/>
    <w:rsid w:val="009010B7"/>
    <w:rsid w:val="00903056"/>
    <w:rsid w:val="009038DC"/>
    <w:rsid w:val="0090434B"/>
    <w:rsid w:val="009046D8"/>
    <w:rsid w:val="00904807"/>
    <w:rsid w:val="00904A69"/>
    <w:rsid w:val="00905196"/>
    <w:rsid w:val="00906324"/>
    <w:rsid w:val="009067F6"/>
    <w:rsid w:val="0090693E"/>
    <w:rsid w:val="00906A04"/>
    <w:rsid w:val="00906E56"/>
    <w:rsid w:val="009072D6"/>
    <w:rsid w:val="00907637"/>
    <w:rsid w:val="0090783F"/>
    <w:rsid w:val="00907CEF"/>
    <w:rsid w:val="00910DA6"/>
    <w:rsid w:val="00910E9A"/>
    <w:rsid w:val="009110FD"/>
    <w:rsid w:val="00911C8E"/>
    <w:rsid w:val="00912065"/>
    <w:rsid w:val="0091337B"/>
    <w:rsid w:val="009134C1"/>
    <w:rsid w:val="00914AD4"/>
    <w:rsid w:val="00914F24"/>
    <w:rsid w:val="00914F6E"/>
    <w:rsid w:val="0091595B"/>
    <w:rsid w:val="0091633D"/>
    <w:rsid w:val="009169C3"/>
    <w:rsid w:val="00917B6D"/>
    <w:rsid w:val="00917C8F"/>
    <w:rsid w:val="009213D7"/>
    <w:rsid w:val="00921B0B"/>
    <w:rsid w:val="00925D74"/>
    <w:rsid w:val="00925D93"/>
    <w:rsid w:val="0092654A"/>
    <w:rsid w:val="00927638"/>
    <w:rsid w:val="00927D4F"/>
    <w:rsid w:val="00930F86"/>
    <w:rsid w:val="00931012"/>
    <w:rsid w:val="009347EA"/>
    <w:rsid w:val="0093532B"/>
    <w:rsid w:val="00935CAA"/>
    <w:rsid w:val="00935FA0"/>
    <w:rsid w:val="00936124"/>
    <w:rsid w:val="009362FD"/>
    <w:rsid w:val="0093788D"/>
    <w:rsid w:val="009409A1"/>
    <w:rsid w:val="00940A98"/>
    <w:rsid w:val="009411A3"/>
    <w:rsid w:val="009436FF"/>
    <w:rsid w:val="00944583"/>
    <w:rsid w:val="00945B32"/>
    <w:rsid w:val="00945DCB"/>
    <w:rsid w:val="009464B4"/>
    <w:rsid w:val="00950281"/>
    <w:rsid w:val="009509AC"/>
    <w:rsid w:val="0095116E"/>
    <w:rsid w:val="00951596"/>
    <w:rsid w:val="00951893"/>
    <w:rsid w:val="00951ADE"/>
    <w:rsid w:val="00952303"/>
    <w:rsid w:val="009527D0"/>
    <w:rsid w:val="00952DD6"/>
    <w:rsid w:val="00952E4A"/>
    <w:rsid w:val="0095310F"/>
    <w:rsid w:val="009531F5"/>
    <w:rsid w:val="00953227"/>
    <w:rsid w:val="00953345"/>
    <w:rsid w:val="00953603"/>
    <w:rsid w:val="00954407"/>
    <w:rsid w:val="00954F9F"/>
    <w:rsid w:val="00955013"/>
    <w:rsid w:val="009551C6"/>
    <w:rsid w:val="00956BC0"/>
    <w:rsid w:val="00956DF5"/>
    <w:rsid w:val="00956EC8"/>
    <w:rsid w:val="00957074"/>
    <w:rsid w:val="009571FD"/>
    <w:rsid w:val="00957804"/>
    <w:rsid w:val="00960D6F"/>
    <w:rsid w:val="009624C7"/>
    <w:rsid w:val="00962790"/>
    <w:rsid w:val="009632D9"/>
    <w:rsid w:val="00965598"/>
    <w:rsid w:val="00965866"/>
    <w:rsid w:val="00966334"/>
    <w:rsid w:val="00966CBE"/>
    <w:rsid w:val="00970EBE"/>
    <w:rsid w:val="0097178B"/>
    <w:rsid w:val="00974245"/>
    <w:rsid w:val="009754AE"/>
    <w:rsid w:val="009754D0"/>
    <w:rsid w:val="00975B72"/>
    <w:rsid w:val="00977487"/>
    <w:rsid w:val="00977732"/>
    <w:rsid w:val="00977BEC"/>
    <w:rsid w:val="00980132"/>
    <w:rsid w:val="00980615"/>
    <w:rsid w:val="0098065F"/>
    <w:rsid w:val="00982B0B"/>
    <w:rsid w:val="009842B7"/>
    <w:rsid w:val="009857A5"/>
    <w:rsid w:val="00987882"/>
    <w:rsid w:val="00987D60"/>
    <w:rsid w:val="00987EEE"/>
    <w:rsid w:val="00991FD1"/>
    <w:rsid w:val="0099234D"/>
    <w:rsid w:val="00993CCA"/>
    <w:rsid w:val="009949C5"/>
    <w:rsid w:val="0099627B"/>
    <w:rsid w:val="00996711"/>
    <w:rsid w:val="00996FCC"/>
    <w:rsid w:val="00997D71"/>
    <w:rsid w:val="009A193D"/>
    <w:rsid w:val="009A218D"/>
    <w:rsid w:val="009A2823"/>
    <w:rsid w:val="009A385A"/>
    <w:rsid w:val="009A6082"/>
    <w:rsid w:val="009B11F5"/>
    <w:rsid w:val="009B30FA"/>
    <w:rsid w:val="009B4B2E"/>
    <w:rsid w:val="009B579A"/>
    <w:rsid w:val="009B6812"/>
    <w:rsid w:val="009B692D"/>
    <w:rsid w:val="009B6D85"/>
    <w:rsid w:val="009C0011"/>
    <w:rsid w:val="009C2C29"/>
    <w:rsid w:val="009C40C5"/>
    <w:rsid w:val="009C467C"/>
    <w:rsid w:val="009C5503"/>
    <w:rsid w:val="009C62E9"/>
    <w:rsid w:val="009C68B9"/>
    <w:rsid w:val="009D0819"/>
    <w:rsid w:val="009D114A"/>
    <w:rsid w:val="009D3B98"/>
    <w:rsid w:val="009D487C"/>
    <w:rsid w:val="009D554E"/>
    <w:rsid w:val="009D6127"/>
    <w:rsid w:val="009D77D8"/>
    <w:rsid w:val="009E039F"/>
    <w:rsid w:val="009E13BA"/>
    <w:rsid w:val="009E1FDF"/>
    <w:rsid w:val="009E308E"/>
    <w:rsid w:val="009E6735"/>
    <w:rsid w:val="009E6D5D"/>
    <w:rsid w:val="009E7E96"/>
    <w:rsid w:val="009F0CAF"/>
    <w:rsid w:val="009F152B"/>
    <w:rsid w:val="009F1666"/>
    <w:rsid w:val="009F61C5"/>
    <w:rsid w:val="009F6B9C"/>
    <w:rsid w:val="00A01692"/>
    <w:rsid w:val="00A01A2A"/>
    <w:rsid w:val="00A01FD2"/>
    <w:rsid w:val="00A049D0"/>
    <w:rsid w:val="00A05F99"/>
    <w:rsid w:val="00A069F6"/>
    <w:rsid w:val="00A10171"/>
    <w:rsid w:val="00A11407"/>
    <w:rsid w:val="00A11BE9"/>
    <w:rsid w:val="00A11C58"/>
    <w:rsid w:val="00A120FF"/>
    <w:rsid w:val="00A13CC4"/>
    <w:rsid w:val="00A13E04"/>
    <w:rsid w:val="00A15107"/>
    <w:rsid w:val="00A15B73"/>
    <w:rsid w:val="00A15D70"/>
    <w:rsid w:val="00A16455"/>
    <w:rsid w:val="00A16F2F"/>
    <w:rsid w:val="00A17410"/>
    <w:rsid w:val="00A17A26"/>
    <w:rsid w:val="00A17CF4"/>
    <w:rsid w:val="00A20C7A"/>
    <w:rsid w:val="00A24BB6"/>
    <w:rsid w:val="00A25D26"/>
    <w:rsid w:val="00A25E8D"/>
    <w:rsid w:val="00A2606A"/>
    <w:rsid w:val="00A26BC3"/>
    <w:rsid w:val="00A30093"/>
    <w:rsid w:val="00A3016C"/>
    <w:rsid w:val="00A3278F"/>
    <w:rsid w:val="00A327F2"/>
    <w:rsid w:val="00A3358D"/>
    <w:rsid w:val="00A33BDF"/>
    <w:rsid w:val="00A3414D"/>
    <w:rsid w:val="00A37BFF"/>
    <w:rsid w:val="00A40EF2"/>
    <w:rsid w:val="00A41727"/>
    <w:rsid w:val="00A41E5E"/>
    <w:rsid w:val="00A43CD6"/>
    <w:rsid w:val="00A44157"/>
    <w:rsid w:val="00A4479F"/>
    <w:rsid w:val="00A45D04"/>
    <w:rsid w:val="00A461C5"/>
    <w:rsid w:val="00A4687F"/>
    <w:rsid w:val="00A47B33"/>
    <w:rsid w:val="00A47E39"/>
    <w:rsid w:val="00A50C29"/>
    <w:rsid w:val="00A52B6B"/>
    <w:rsid w:val="00A53BE3"/>
    <w:rsid w:val="00A545E9"/>
    <w:rsid w:val="00A5666A"/>
    <w:rsid w:val="00A612B3"/>
    <w:rsid w:val="00A618BA"/>
    <w:rsid w:val="00A61A73"/>
    <w:rsid w:val="00A61E7A"/>
    <w:rsid w:val="00A6231C"/>
    <w:rsid w:val="00A62865"/>
    <w:rsid w:val="00A63DF8"/>
    <w:rsid w:val="00A66919"/>
    <w:rsid w:val="00A66CA1"/>
    <w:rsid w:val="00A67890"/>
    <w:rsid w:val="00A67970"/>
    <w:rsid w:val="00A716A2"/>
    <w:rsid w:val="00A71AA8"/>
    <w:rsid w:val="00A73AD7"/>
    <w:rsid w:val="00A73FFA"/>
    <w:rsid w:val="00A741C0"/>
    <w:rsid w:val="00A76D34"/>
    <w:rsid w:val="00A778CF"/>
    <w:rsid w:val="00A77C91"/>
    <w:rsid w:val="00A813E3"/>
    <w:rsid w:val="00A81828"/>
    <w:rsid w:val="00A81DC8"/>
    <w:rsid w:val="00A8270B"/>
    <w:rsid w:val="00A82BA3"/>
    <w:rsid w:val="00A85FC9"/>
    <w:rsid w:val="00A8635B"/>
    <w:rsid w:val="00A87FD1"/>
    <w:rsid w:val="00A90575"/>
    <w:rsid w:val="00A911EB"/>
    <w:rsid w:val="00A914BC"/>
    <w:rsid w:val="00A91C5D"/>
    <w:rsid w:val="00A9216B"/>
    <w:rsid w:val="00A9232C"/>
    <w:rsid w:val="00A93B7F"/>
    <w:rsid w:val="00A93D3F"/>
    <w:rsid w:val="00A957F7"/>
    <w:rsid w:val="00A970B1"/>
    <w:rsid w:val="00A9762A"/>
    <w:rsid w:val="00A97821"/>
    <w:rsid w:val="00AA0191"/>
    <w:rsid w:val="00AA0968"/>
    <w:rsid w:val="00AA1AA7"/>
    <w:rsid w:val="00AA3D36"/>
    <w:rsid w:val="00AA4F7B"/>
    <w:rsid w:val="00AA5630"/>
    <w:rsid w:val="00AA5733"/>
    <w:rsid w:val="00AA6861"/>
    <w:rsid w:val="00AA711A"/>
    <w:rsid w:val="00AB013A"/>
    <w:rsid w:val="00AB0748"/>
    <w:rsid w:val="00AB0B34"/>
    <w:rsid w:val="00AB2FB6"/>
    <w:rsid w:val="00AB3B7C"/>
    <w:rsid w:val="00AB7160"/>
    <w:rsid w:val="00AB7D88"/>
    <w:rsid w:val="00AC0059"/>
    <w:rsid w:val="00AC15FB"/>
    <w:rsid w:val="00AC1DA9"/>
    <w:rsid w:val="00AC2BD7"/>
    <w:rsid w:val="00AC69CE"/>
    <w:rsid w:val="00AC716C"/>
    <w:rsid w:val="00AC73CE"/>
    <w:rsid w:val="00AC7B82"/>
    <w:rsid w:val="00AD0674"/>
    <w:rsid w:val="00AD07AC"/>
    <w:rsid w:val="00AD18E7"/>
    <w:rsid w:val="00AD3FDC"/>
    <w:rsid w:val="00AD4D45"/>
    <w:rsid w:val="00AE1066"/>
    <w:rsid w:val="00AE4A0A"/>
    <w:rsid w:val="00AE587D"/>
    <w:rsid w:val="00AE6160"/>
    <w:rsid w:val="00AE62C8"/>
    <w:rsid w:val="00AE75DC"/>
    <w:rsid w:val="00AF01EC"/>
    <w:rsid w:val="00AF148D"/>
    <w:rsid w:val="00AF17B7"/>
    <w:rsid w:val="00AF20EA"/>
    <w:rsid w:val="00AF2D27"/>
    <w:rsid w:val="00AF4938"/>
    <w:rsid w:val="00AF49EE"/>
    <w:rsid w:val="00AF5F11"/>
    <w:rsid w:val="00AF7148"/>
    <w:rsid w:val="00AF7C1F"/>
    <w:rsid w:val="00B001E0"/>
    <w:rsid w:val="00B02FF5"/>
    <w:rsid w:val="00B03294"/>
    <w:rsid w:val="00B04B9B"/>
    <w:rsid w:val="00B0586E"/>
    <w:rsid w:val="00B05CFE"/>
    <w:rsid w:val="00B06130"/>
    <w:rsid w:val="00B06CAF"/>
    <w:rsid w:val="00B10B44"/>
    <w:rsid w:val="00B11802"/>
    <w:rsid w:val="00B13EE5"/>
    <w:rsid w:val="00B169CF"/>
    <w:rsid w:val="00B16FCD"/>
    <w:rsid w:val="00B174C9"/>
    <w:rsid w:val="00B176AD"/>
    <w:rsid w:val="00B204DF"/>
    <w:rsid w:val="00B22EF1"/>
    <w:rsid w:val="00B26086"/>
    <w:rsid w:val="00B27292"/>
    <w:rsid w:val="00B2773F"/>
    <w:rsid w:val="00B279E5"/>
    <w:rsid w:val="00B27A0A"/>
    <w:rsid w:val="00B27CF9"/>
    <w:rsid w:val="00B30415"/>
    <w:rsid w:val="00B30D31"/>
    <w:rsid w:val="00B30E91"/>
    <w:rsid w:val="00B31A14"/>
    <w:rsid w:val="00B31B04"/>
    <w:rsid w:val="00B332AA"/>
    <w:rsid w:val="00B33D1E"/>
    <w:rsid w:val="00B34BFC"/>
    <w:rsid w:val="00B370C9"/>
    <w:rsid w:val="00B37459"/>
    <w:rsid w:val="00B374DB"/>
    <w:rsid w:val="00B40CA3"/>
    <w:rsid w:val="00B40CCF"/>
    <w:rsid w:val="00B41A36"/>
    <w:rsid w:val="00B41D55"/>
    <w:rsid w:val="00B42D59"/>
    <w:rsid w:val="00B42F68"/>
    <w:rsid w:val="00B43C8A"/>
    <w:rsid w:val="00B44231"/>
    <w:rsid w:val="00B44C13"/>
    <w:rsid w:val="00B45FD2"/>
    <w:rsid w:val="00B46D8F"/>
    <w:rsid w:val="00B47E89"/>
    <w:rsid w:val="00B50790"/>
    <w:rsid w:val="00B50EAA"/>
    <w:rsid w:val="00B5183C"/>
    <w:rsid w:val="00B52134"/>
    <w:rsid w:val="00B524EE"/>
    <w:rsid w:val="00B52D69"/>
    <w:rsid w:val="00B54F4D"/>
    <w:rsid w:val="00B568B4"/>
    <w:rsid w:val="00B56FD0"/>
    <w:rsid w:val="00B574B0"/>
    <w:rsid w:val="00B57A46"/>
    <w:rsid w:val="00B57E2D"/>
    <w:rsid w:val="00B62DB5"/>
    <w:rsid w:val="00B6347E"/>
    <w:rsid w:val="00B64A35"/>
    <w:rsid w:val="00B6641B"/>
    <w:rsid w:val="00B66FEE"/>
    <w:rsid w:val="00B72145"/>
    <w:rsid w:val="00B72275"/>
    <w:rsid w:val="00B73C9A"/>
    <w:rsid w:val="00B74748"/>
    <w:rsid w:val="00B769D4"/>
    <w:rsid w:val="00B76B7F"/>
    <w:rsid w:val="00B778F1"/>
    <w:rsid w:val="00B77F90"/>
    <w:rsid w:val="00B8291F"/>
    <w:rsid w:val="00B83860"/>
    <w:rsid w:val="00B83990"/>
    <w:rsid w:val="00B83B4C"/>
    <w:rsid w:val="00B85965"/>
    <w:rsid w:val="00B86EBE"/>
    <w:rsid w:val="00B900C8"/>
    <w:rsid w:val="00B906B9"/>
    <w:rsid w:val="00B908D2"/>
    <w:rsid w:val="00B9107C"/>
    <w:rsid w:val="00B91480"/>
    <w:rsid w:val="00B929BB"/>
    <w:rsid w:val="00B931B4"/>
    <w:rsid w:val="00B934E9"/>
    <w:rsid w:val="00B9406D"/>
    <w:rsid w:val="00B95ACD"/>
    <w:rsid w:val="00B95C19"/>
    <w:rsid w:val="00B96373"/>
    <w:rsid w:val="00B978C5"/>
    <w:rsid w:val="00BA02FC"/>
    <w:rsid w:val="00BA0DE6"/>
    <w:rsid w:val="00BA3D37"/>
    <w:rsid w:val="00BA507D"/>
    <w:rsid w:val="00BA53F0"/>
    <w:rsid w:val="00BA58A4"/>
    <w:rsid w:val="00BA7B59"/>
    <w:rsid w:val="00BA7C97"/>
    <w:rsid w:val="00BB00EC"/>
    <w:rsid w:val="00BB0B9C"/>
    <w:rsid w:val="00BB0D2C"/>
    <w:rsid w:val="00BB28B2"/>
    <w:rsid w:val="00BB28C7"/>
    <w:rsid w:val="00BB3288"/>
    <w:rsid w:val="00BB35AA"/>
    <w:rsid w:val="00BB35D1"/>
    <w:rsid w:val="00BB4185"/>
    <w:rsid w:val="00BB4716"/>
    <w:rsid w:val="00BB4896"/>
    <w:rsid w:val="00BB5EC7"/>
    <w:rsid w:val="00BB6186"/>
    <w:rsid w:val="00BB6DCA"/>
    <w:rsid w:val="00BC046E"/>
    <w:rsid w:val="00BC0CFB"/>
    <w:rsid w:val="00BC10E1"/>
    <w:rsid w:val="00BC125A"/>
    <w:rsid w:val="00BC2052"/>
    <w:rsid w:val="00BC26C0"/>
    <w:rsid w:val="00BC2A88"/>
    <w:rsid w:val="00BC2F21"/>
    <w:rsid w:val="00BC32EB"/>
    <w:rsid w:val="00BC3942"/>
    <w:rsid w:val="00BC3DED"/>
    <w:rsid w:val="00BC3E09"/>
    <w:rsid w:val="00BC585B"/>
    <w:rsid w:val="00BC5F92"/>
    <w:rsid w:val="00BC7A03"/>
    <w:rsid w:val="00BD0497"/>
    <w:rsid w:val="00BD110B"/>
    <w:rsid w:val="00BD25DF"/>
    <w:rsid w:val="00BD2AD8"/>
    <w:rsid w:val="00BD3231"/>
    <w:rsid w:val="00BD3335"/>
    <w:rsid w:val="00BD39B9"/>
    <w:rsid w:val="00BD3F98"/>
    <w:rsid w:val="00BD4805"/>
    <w:rsid w:val="00BD5C0C"/>
    <w:rsid w:val="00BD6988"/>
    <w:rsid w:val="00BD6DE1"/>
    <w:rsid w:val="00BD71BD"/>
    <w:rsid w:val="00BE1494"/>
    <w:rsid w:val="00BE2A39"/>
    <w:rsid w:val="00BE2D82"/>
    <w:rsid w:val="00BE3439"/>
    <w:rsid w:val="00BE3DC5"/>
    <w:rsid w:val="00BE4331"/>
    <w:rsid w:val="00BE56BB"/>
    <w:rsid w:val="00BE6B73"/>
    <w:rsid w:val="00BE7CA4"/>
    <w:rsid w:val="00BE7CF4"/>
    <w:rsid w:val="00BF04F0"/>
    <w:rsid w:val="00BF3A41"/>
    <w:rsid w:val="00BF764B"/>
    <w:rsid w:val="00BF7711"/>
    <w:rsid w:val="00BF7D46"/>
    <w:rsid w:val="00C006A0"/>
    <w:rsid w:val="00C007A4"/>
    <w:rsid w:val="00C01165"/>
    <w:rsid w:val="00C02118"/>
    <w:rsid w:val="00C038A0"/>
    <w:rsid w:val="00C04978"/>
    <w:rsid w:val="00C05255"/>
    <w:rsid w:val="00C060FB"/>
    <w:rsid w:val="00C063A1"/>
    <w:rsid w:val="00C06486"/>
    <w:rsid w:val="00C06659"/>
    <w:rsid w:val="00C06E76"/>
    <w:rsid w:val="00C1047D"/>
    <w:rsid w:val="00C116AD"/>
    <w:rsid w:val="00C14292"/>
    <w:rsid w:val="00C15E7D"/>
    <w:rsid w:val="00C16476"/>
    <w:rsid w:val="00C169A9"/>
    <w:rsid w:val="00C17457"/>
    <w:rsid w:val="00C2036B"/>
    <w:rsid w:val="00C224B8"/>
    <w:rsid w:val="00C23F26"/>
    <w:rsid w:val="00C2434E"/>
    <w:rsid w:val="00C24BC7"/>
    <w:rsid w:val="00C26E18"/>
    <w:rsid w:val="00C27493"/>
    <w:rsid w:val="00C2787C"/>
    <w:rsid w:val="00C27E0C"/>
    <w:rsid w:val="00C318A7"/>
    <w:rsid w:val="00C3249B"/>
    <w:rsid w:val="00C3449D"/>
    <w:rsid w:val="00C3459D"/>
    <w:rsid w:val="00C36448"/>
    <w:rsid w:val="00C369D1"/>
    <w:rsid w:val="00C36F7B"/>
    <w:rsid w:val="00C42333"/>
    <w:rsid w:val="00C446DA"/>
    <w:rsid w:val="00C44D99"/>
    <w:rsid w:val="00C45250"/>
    <w:rsid w:val="00C461CD"/>
    <w:rsid w:val="00C507F1"/>
    <w:rsid w:val="00C509BD"/>
    <w:rsid w:val="00C50CCD"/>
    <w:rsid w:val="00C52263"/>
    <w:rsid w:val="00C5281E"/>
    <w:rsid w:val="00C52DF8"/>
    <w:rsid w:val="00C5320F"/>
    <w:rsid w:val="00C536AE"/>
    <w:rsid w:val="00C5470A"/>
    <w:rsid w:val="00C5516B"/>
    <w:rsid w:val="00C5556D"/>
    <w:rsid w:val="00C56CA9"/>
    <w:rsid w:val="00C56CB8"/>
    <w:rsid w:val="00C60907"/>
    <w:rsid w:val="00C60F63"/>
    <w:rsid w:val="00C61421"/>
    <w:rsid w:val="00C62351"/>
    <w:rsid w:val="00C63776"/>
    <w:rsid w:val="00C65606"/>
    <w:rsid w:val="00C65A1B"/>
    <w:rsid w:val="00C6647B"/>
    <w:rsid w:val="00C675AB"/>
    <w:rsid w:val="00C67684"/>
    <w:rsid w:val="00C70A9A"/>
    <w:rsid w:val="00C715FD"/>
    <w:rsid w:val="00C721FC"/>
    <w:rsid w:val="00C75C51"/>
    <w:rsid w:val="00C76C43"/>
    <w:rsid w:val="00C77450"/>
    <w:rsid w:val="00C813E8"/>
    <w:rsid w:val="00C81C94"/>
    <w:rsid w:val="00C83494"/>
    <w:rsid w:val="00C83EB1"/>
    <w:rsid w:val="00C83F8F"/>
    <w:rsid w:val="00C84927"/>
    <w:rsid w:val="00C84D10"/>
    <w:rsid w:val="00C85416"/>
    <w:rsid w:val="00C86574"/>
    <w:rsid w:val="00C86B46"/>
    <w:rsid w:val="00C87BC6"/>
    <w:rsid w:val="00C90CB5"/>
    <w:rsid w:val="00C91DC3"/>
    <w:rsid w:val="00C93547"/>
    <w:rsid w:val="00C952BA"/>
    <w:rsid w:val="00C95432"/>
    <w:rsid w:val="00C96DD8"/>
    <w:rsid w:val="00C97825"/>
    <w:rsid w:val="00CA05D1"/>
    <w:rsid w:val="00CA0E3D"/>
    <w:rsid w:val="00CA1076"/>
    <w:rsid w:val="00CA175C"/>
    <w:rsid w:val="00CA31FC"/>
    <w:rsid w:val="00CA349B"/>
    <w:rsid w:val="00CA3CF0"/>
    <w:rsid w:val="00CA45E3"/>
    <w:rsid w:val="00CA64D5"/>
    <w:rsid w:val="00CA6B5D"/>
    <w:rsid w:val="00CA726A"/>
    <w:rsid w:val="00CA79C7"/>
    <w:rsid w:val="00CB07FC"/>
    <w:rsid w:val="00CB1248"/>
    <w:rsid w:val="00CB3685"/>
    <w:rsid w:val="00CB3DD0"/>
    <w:rsid w:val="00CB56B6"/>
    <w:rsid w:val="00CB62FF"/>
    <w:rsid w:val="00CB6C8D"/>
    <w:rsid w:val="00CB766E"/>
    <w:rsid w:val="00CC0B4E"/>
    <w:rsid w:val="00CC0CCC"/>
    <w:rsid w:val="00CC1677"/>
    <w:rsid w:val="00CC32DA"/>
    <w:rsid w:val="00CC3647"/>
    <w:rsid w:val="00CC4479"/>
    <w:rsid w:val="00CC4691"/>
    <w:rsid w:val="00CC6142"/>
    <w:rsid w:val="00CC6447"/>
    <w:rsid w:val="00CC7355"/>
    <w:rsid w:val="00CC73C4"/>
    <w:rsid w:val="00CC76F0"/>
    <w:rsid w:val="00CD0D87"/>
    <w:rsid w:val="00CD1FD8"/>
    <w:rsid w:val="00CD4A1C"/>
    <w:rsid w:val="00CD4F05"/>
    <w:rsid w:val="00CD52EF"/>
    <w:rsid w:val="00CD753D"/>
    <w:rsid w:val="00CE0390"/>
    <w:rsid w:val="00CE0EEB"/>
    <w:rsid w:val="00CE2506"/>
    <w:rsid w:val="00CE28BA"/>
    <w:rsid w:val="00CE3A49"/>
    <w:rsid w:val="00CE4353"/>
    <w:rsid w:val="00CE52D6"/>
    <w:rsid w:val="00CE6481"/>
    <w:rsid w:val="00CE76D0"/>
    <w:rsid w:val="00CF158C"/>
    <w:rsid w:val="00CF24CD"/>
    <w:rsid w:val="00CF32CF"/>
    <w:rsid w:val="00CF32F9"/>
    <w:rsid w:val="00CF37F9"/>
    <w:rsid w:val="00CF3CA7"/>
    <w:rsid w:val="00CF524B"/>
    <w:rsid w:val="00D009E4"/>
    <w:rsid w:val="00D03D6D"/>
    <w:rsid w:val="00D0493F"/>
    <w:rsid w:val="00D05FC3"/>
    <w:rsid w:val="00D060A3"/>
    <w:rsid w:val="00D06ADA"/>
    <w:rsid w:val="00D075CF"/>
    <w:rsid w:val="00D07C65"/>
    <w:rsid w:val="00D10481"/>
    <w:rsid w:val="00D10E6C"/>
    <w:rsid w:val="00D1171E"/>
    <w:rsid w:val="00D1232F"/>
    <w:rsid w:val="00D13C2E"/>
    <w:rsid w:val="00D13D39"/>
    <w:rsid w:val="00D13F8D"/>
    <w:rsid w:val="00D14CA5"/>
    <w:rsid w:val="00D21015"/>
    <w:rsid w:val="00D21AC0"/>
    <w:rsid w:val="00D21CC2"/>
    <w:rsid w:val="00D23648"/>
    <w:rsid w:val="00D24CAF"/>
    <w:rsid w:val="00D26BF5"/>
    <w:rsid w:val="00D26CFC"/>
    <w:rsid w:val="00D2728C"/>
    <w:rsid w:val="00D30439"/>
    <w:rsid w:val="00D3047D"/>
    <w:rsid w:val="00D30610"/>
    <w:rsid w:val="00D3119A"/>
    <w:rsid w:val="00D334C9"/>
    <w:rsid w:val="00D3384C"/>
    <w:rsid w:val="00D350EB"/>
    <w:rsid w:val="00D35D38"/>
    <w:rsid w:val="00D370CE"/>
    <w:rsid w:val="00D44E00"/>
    <w:rsid w:val="00D45707"/>
    <w:rsid w:val="00D45FB9"/>
    <w:rsid w:val="00D501AF"/>
    <w:rsid w:val="00D50BC2"/>
    <w:rsid w:val="00D51538"/>
    <w:rsid w:val="00D529D0"/>
    <w:rsid w:val="00D52CAA"/>
    <w:rsid w:val="00D530C6"/>
    <w:rsid w:val="00D532B2"/>
    <w:rsid w:val="00D5389B"/>
    <w:rsid w:val="00D573C8"/>
    <w:rsid w:val="00D57A93"/>
    <w:rsid w:val="00D57DFC"/>
    <w:rsid w:val="00D57DFE"/>
    <w:rsid w:val="00D6124B"/>
    <w:rsid w:val="00D62644"/>
    <w:rsid w:val="00D661A8"/>
    <w:rsid w:val="00D66542"/>
    <w:rsid w:val="00D666D0"/>
    <w:rsid w:val="00D67DC4"/>
    <w:rsid w:val="00D67F9B"/>
    <w:rsid w:val="00D708F7"/>
    <w:rsid w:val="00D723E5"/>
    <w:rsid w:val="00D73D1B"/>
    <w:rsid w:val="00D74CC7"/>
    <w:rsid w:val="00D74F06"/>
    <w:rsid w:val="00D75B23"/>
    <w:rsid w:val="00D76297"/>
    <w:rsid w:val="00D778EA"/>
    <w:rsid w:val="00D77913"/>
    <w:rsid w:val="00D77BE6"/>
    <w:rsid w:val="00D77FF4"/>
    <w:rsid w:val="00D80131"/>
    <w:rsid w:val="00D80897"/>
    <w:rsid w:val="00D80EA6"/>
    <w:rsid w:val="00D8100C"/>
    <w:rsid w:val="00D81371"/>
    <w:rsid w:val="00D81508"/>
    <w:rsid w:val="00D81E70"/>
    <w:rsid w:val="00D83569"/>
    <w:rsid w:val="00D83638"/>
    <w:rsid w:val="00D84037"/>
    <w:rsid w:val="00D843BC"/>
    <w:rsid w:val="00D85833"/>
    <w:rsid w:val="00D90554"/>
    <w:rsid w:val="00D90B13"/>
    <w:rsid w:val="00D92A02"/>
    <w:rsid w:val="00D9330D"/>
    <w:rsid w:val="00D93D96"/>
    <w:rsid w:val="00D95C70"/>
    <w:rsid w:val="00D9622C"/>
    <w:rsid w:val="00D965B4"/>
    <w:rsid w:val="00D9763D"/>
    <w:rsid w:val="00D978E0"/>
    <w:rsid w:val="00D97DEC"/>
    <w:rsid w:val="00DA0C0E"/>
    <w:rsid w:val="00DA2D77"/>
    <w:rsid w:val="00DA378C"/>
    <w:rsid w:val="00DA3E79"/>
    <w:rsid w:val="00DA4424"/>
    <w:rsid w:val="00DA57D9"/>
    <w:rsid w:val="00DA5B36"/>
    <w:rsid w:val="00DA7995"/>
    <w:rsid w:val="00DA7F03"/>
    <w:rsid w:val="00DB014B"/>
    <w:rsid w:val="00DB22DA"/>
    <w:rsid w:val="00DB3370"/>
    <w:rsid w:val="00DB6A92"/>
    <w:rsid w:val="00DB6AE5"/>
    <w:rsid w:val="00DB7FB7"/>
    <w:rsid w:val="00DC0DD8"/>
    <w:rsid w:val="00DC14B2"/>
    <w:rsid w:val="00DC2189"/>
    <w:rsid w:val="00DC4E23"/>
    <w:rsid w:val="00DC6416"/>
    <w:rsid w:val="00DC6617"/>
    <w:rsid w:val="00DD039B"/>
    <w:rsid w:val="00DD0F35"/>
    <w:rsid w:val="00DD18BD"/>
    <w:rsid w:val="00DD37F1"/>
    <w:rsid w:val="00DD4261"/>
    <w:rsid w:val="00DD4FA7"/>
    <w:rsid w:val="00DD58A2"/>
    <w:rsid w:val="00DE086D"/>
    <w:rsid w:val="00DE0FB6"/>
    <w:rsid w:val="00DE1AA2"/>
    <w:rsid w:val="00DE2A92"/>
    <w:rsid w:val="00DE3007"/>
    <w:rsid w:val="00DE3567"/>
    <w:rsid w:val="00DE4141"/>
    <w:rsid w:val="00DE4237"/>
    <w:rsid w:val="00DE4C96"/>
    <w:rsid w:val="00DE5842"/>
    <w:rsid w:val="00DF2DE6"/>
    <w:rsid w:val="00DF46B6"/>
    <w:rsid w:val="00DF5598"/>
    <w:rsid w:val="00DF7DBC"/>
    <w:rsid w:val="00E03287"/>
    <w:rsid w:val="00E03CCC"/>
    <w:rsid w:val="00E04820"/>
    <w:rsid w:val="00E04B0C"/>
    <w:rsid w:val="00E05041"/>
    <w:rsid w:val="00E066AA"/>
    <w:rsid w:val="00E068B9"/>
    <w:rsid w:val="00E11627"/>
    <w:rsid w:val="00E119CC"/>
    <w:rsid w:val="00E134B7"/>
    <w:rsid w:val="00E14F4B"/>
    <w:rsid w:val="00E150D8"/>
    <w:rsid w:val="00E172FB"/>
    <w:rsid w:val="00E17375"/>
    <w:rsid w:val="00E17479"/>
    <w:rsid w:val="00E2009E"/>
    <w:rsid w:val="00E20222"/>
    <w:rsid w:val="00E2137C"/>
    <w:rsid w:val="00E216FE"/>
    <w:rsid w:val="00E22AB6"/>
    <w:rsid w:val="00E255D4"/>
    <w:rsid w:val="00E257F1"/>
    <w:rsid w:val="00E2645B"/>
    <w:rsid w:val="00E2672B"/>
    <w:rsid w:val="00E271E3"/>
    <w:rsid w:val="00E2781B"/>
    <w:rsid w:val="00E31949"/>
    <w:rsid w:val="00E3444B"/>
    <w:rsid w:val="00E34798"/>
    <w:rsid w:val="00E36D12"/>
    <w:rsid w:val="00E37D61"/>
    <w:rsid w:val="00E4009E"/>
    <w:rsid w:val="00E40193"/>
    <w:rsid w:val="00E40923"/>
    <w:rsid w:val="00E426BA"/>
    <w:rsid w:val="00E43092"/>
    <w:rsid w:val="00E44E15"/>
    <w:rsid w:val="00E460C2"/>
    <w:rsid w:val="00E467FF"/>
    <w:rsid w:val="00E46967"/>
    <w:rsid w:val="00E47A77"/>
    <w:rsid w:val="00E50A29"/>
    <w:rsid w:val="00E518A5"/>
    <w:rsid w:val="00E51FCA"/>
    <w:rsid w:val="00E52CA7"/>
    <w:rsid w:val="00E530BA"/>
    <w:rsid w:val="00E530D7"/>
    <w:rsid w:val="00E53D31"/>
    <w:rsid w:val="00E53FF3"/>
    <w:rsid w:val="00E5552F"/>
    <w:rsid w:val="00E55DB2"/>
    <w:rsid w:val="00E567B6"/>
    <w:rsid w:val="00E571A1"/>
    <w:rsid w:val="00E61C90"/>
    <w:rsid w:val="00E61F3C"/>
    <w:rsid w:val="00E621C3"/>
    <w:rsid w:val="00E62947"/>
    <w:rsid w:val="00E63140"/>
    <w:rsid w:val="00E63C8E"/>
    <w:rsid w:val="00E663EF"/>
    <w:rsid w:val="00E676A1"/>
    <w:rsid w:val="00E70474"/>
    <w:rsid w:val="00E70933"/>
    <w:rsid w:val="00E7149F"/>
    <w:rsid w:val="00E71E68"/>
    <w:rsid w:val="00E74607"/>
    <w:rsid w:val="00E74667"/>
    <w:rsid w:val="00E74BBE"/>
    <w:rsid w:val="00E7523C"/>
    <w:rsid w:val="00E7545B"/>
    <w:rsid w:val="00E757CA"/>
    <w:rsid w:val="00E75934"/>
    <w:rsid w:val="00E75AC9"/>
    <w:rsid w:val="00E7637D"/>
    <w:rsid w:val="00E77ED1"/>
    <w:rsid w:val="00E82104"/>
    <w:rsid w:val="00E8449A"/>
    <w:rsid w:val="00E84D80"/>
    <w:rsid w:val="00E8656F"/>
    <w:rsid w:val="00E8679E"/>
    <w:rsid w:val="00E867B1"/>
    <w:rsid w:val="00E92DBA"/>
    <w:rsid w:val="00E92F37"/>
    <w:rsid w:val="00E93C01"/>
    <w:rsid w:val="00E94E82"/>
    <w:rsid w:val="00E94F6D"/>
    <w:rsid w:val="00E97A07"/>
    <w:rsid w:val="00E97B88"/>
    <w:rsid w:val="00EA0497"/>
    <w:rsid w:val="00EA2715"/>
    <w:rsid w:val="00EA2951"/>
    <w:rsid w:val="00EA2E5E"/>
    <w:rsid w:val="00EA348A"/>
    <w:rsid w:val="00EA35F0"/>
    <w:rsid w:val="00EA439A"/>
    <w:rsid w:val="00EA60E1"/>
    <w:rsid w:val="00EA6453"/>
    <w:rsid w:val="00EB0436"/>
    <w:rsid w:val="00EB21AD"/>
    <w:rsid w:val="00EB2D14"/>
    <w:rsid w:val="00EB50C3"/>
    <w:rsid w:val="00EB5D23"/>
    <w:rsid w:val="00EB6C7E"/>
    <w:rsid w:val="00EB7A76"/>
    <w:rsid w:val="00EB7D42"/>
    <w:rsid w:val="00EC00F2"/>
    <w:rsid w:val="00EC0277"/>
    <w:rsid w:val="00EC0E43"/>
    <w:rsid w:val="00EC3A3C"/>
    <w:rsid w:val="00EC45AA"/>
    <w:rsid w:val="00EC5B3A"/>
    <w:rsid w:val="00EC6F27"/>
    <w:rsid w:val="00ED01AA"/>
    <w:rsid w:val="00ED05F2"/>
    <w:rsid w:val="00ED0700"/>
    <w:rsid w:val="00ED0C40"/>
    <w:rsid w:val="00ED1B19"/>
    <w:rsid w:val="00ED2900"/>
    <w:rsid w:val="00ED2D14"/>
    <w:rsid w:val="00ED38FD"/>
    <w:rsid w:val="00ED3B1C"/>
    <w:rsid w:val="00ED54A0"/>
    <w:rsid w:val="00EE2321"/>
    <w:rsid w:val="00EE4A38"/>
    <w:rsid w:val="00EE6B91"/>
    <w:rsid w:val="00EE79B7"/>
    <w:rsid w:val="00EF1072"/>
    <w:rsid w:val="00EF1B32"/>
    <w:rsid w:val="00EF3628"/>
    <w:rsid w:val="00EF37EC"/>
    <w:rsid w:val="00EF4F67"/>
    <w:rsid w:val="00EF540B"/>
    <w:rsid w:val="00EF5900"/>
    <w:rsid w:val="00EF5D07"/>
    <w:rsid w:val="00EF5D5F"/>
    <w:rsid w:val="00EF6F37"/>
    <w:rsid w:val="00EF7531"/>
    <w:rsid w:val="00EF7A3A"/>
    <w:rsid w:val="00F012BA"/>
    <w:rsid w:val="00F019C5"/>
    <w:rsid w:val="00F02A2B"/>
    <w:rsid w:val="00F04CD3"/>
    <w:rsid w:val="00F05542"/>
    <w:rsid w:val="00F05E8C"/>
    <w:rsid w:val="00F06459"/>
    <w:rsid w:val="00F1102D"/>
    <w:rsid w:val="00F11A19"/>
    <w:rsid w:val="00F11E71"/>
    <w:rsid w:val="00F13132"/>
    <w:rsid w:val="00F13D6D"/>
    <w:rsid w:val="00F15103"/>
    <w:rsid w:val="00F16C39"/>
    <w:rsid w:val="00F16EAF"/>
    <w:rsid w:val="00F2035F"/>
    <w:rsid w:val="00F20E24"/>
    <w:rsid w:val="00F21240"/>
    <w:rsid w:val="00F21497"/>
    <w:rsid w:val="00F215D1"/>
    <w:rsid w:val="00F22C4D"/>
    <w:rsid w:val="00F2566F"/>
    <w:rsid w:val="00F2589C"/>
    <w:rsid w:val="00F258EA"/>
    <w:rsid w:val="00F25C06"/>
    <w:rsid w:val="00F263D7"/>
    <w:rsid w:val="00F268E2"/>
    <w:rsid w:val="00F26E38"/>
    <w:rsid w:val="00F2775B"/>
    <w:rsid w:val="00F27906"/>
    <w:rsid w:val="00F31B39"/>
    <w:rsid w:val="00F3260B"/>
    <w:rsid w:val="00F32832"/>
    <w:rsid w:val="00F33B1C"/>
    <w:rsid w:val="00F33B54"/>
    <w:rsid w:val="00F342A1"/>
    <w:rsid w:val="00F34DE6"/>
    <w:rsid w:val="00F3594E"/>
    <w:rsid w:val="00F4009E"/>
    <w:rsid w:val="00F41FF8"/>
    <w:rsid w:val="00F42098"/>
    <w:rsid w:val="00F424A8"/>
    <w:rsid w:val="00F42573"/>
    <w:rsid w:val="00F43AEF"/>
    <w:rsid w:val="00F452A6"/>
    <w:rsid w:val="00F466D6"/>
    <w:rsid w:val="00F46B5C"/>
    <w:rsid w:val="00F46B85"/>
    <w:rsid w:val="00F47E17"/>
    <w:rsid w:val="00F50CFD"/>
    <w:rsid w:val="00F5185F"/>
    <w:rsid w:val="00F51A78"/>
    <w:rsid w:val="00F52122"/>
    <w:rsid w:val="00F52681"/>
    <w:rsid w:val="00F534BE"/>
    <w:rsid w:val="00F536E4"/>
    <w:rsid w:val="00F53C49"/>
    <w:rsid w:val="00F53F42"/>
    <w:rsid w:val="00F5463C"/>
    <w:rsid w:val="00F55F88"/>
    <w:rsid w:val="00F610B8"/>
    <w:rsid w:val="00F610EE"/>
    <w:rsid w:val="00F6193E"/>
    <w:rsid w:val="00F62E25"/>
    <w:rsid w:val="00F62EB2"/>
    <w:rsid w:val="00F63E1A"/>
    <w:rsid w:val="00F65149"/>
    <w:rsid w:val="00F653A0"/>
    <w:rsid w:val="00F6610A"/>
    <w:rsid w:val="00F6642B"/>
    <w:rsid w:val="00F6671F"/>
    <w:rsid w:val="00F676EF"/>
    <w:rsid w:val="00F67997"/>
    <w:rsid w:val="00F72386"/>
    <w:rsid w:val="00F73EA9"/>
    <w:rsid w:val="00F742FD"/>
    <w:rsid w:val="00F755B1"/>
    <w:rsid w:val="00F765CF"/>
    <w:rsid w:val="00F77635"/>
    <w:rsid w:val="00F777C1"/>
    <w:rsid w:val="00F81858"/>
    <w:rsid w:val="00F81D2C"/>
    <w:rsid w:val="00F838D1"/>
    <w:rsid w:val="00F84F62"/>
    <w:rsid w:val="00F865D2"/>
    <w:rsid w:val="00F87099"/>
    <w:rsid w:val="00F90F1E"/>
    <w:rsid w:val="00F91D5D"/>
    <w:rsid w:val="00F91D63"/>
    <w:rsid w:val="00F927EB"/>
    <w:rsid w:val="00F92B11"/>
    <w:rsid w:val="00F94F11"/>
    <w:rsid w:val="00F97C57"/>
    <w:rsid w:val="00FA0D28"/>
    <w:rsid w:val="00FA173C"/>
    <w:rsid w:val="00FA1A31"/>
    <w:rsid w:val="00FA3E89"/>
    <w:rsid w:val="00FA5D1E"/>
    <w:rsid w:val="00FA604D"/>
    <w:rsid w:val="00FA653E"/>
    <w:rsid w:val="00FA6D41"/>
    <w:rsid w:val="00FB185A"/>
    <w:rsid w:val="00FB2232"/>
    <w:rsid w:val="00FB2253"/>
    <w:rsid w:val="00FB2BE8"/>
    <w:rsid w:val="00FB4FBD"/>
    <w:rsid w:val="00FB599B"/>
    <w:rsid w:val="00FB78EA"/>
    <w:rsid w:val="00FB7A12"/>
    <w:rsid w:val="00FB7A26"/>
    <w:rsid w:val="00FC0121"/>
    <w:rsid w:val="00FC1D05"/>
    <w:rsid w:val="00FC393E"/>
    <w:rsid w:val="00FC4030"/>
    <w:rsid w:val="00FC4CA5"/>
    <w:rsid w:val="00FC6066"/>
    <w:rsid w:val="00FD1F10"/>
    <w:rsid w:val="00FD4B00"/>
    <w:rsid w:val="00FD519A"/>
    <w:rsid w:val="00FD550B"/>
    <w:rsid w:val="00FD5534"/>
    <w:rsid w:val="00FD63D0"/>
    <w:rsid w:val="00FD6476"/>
    <w:rsid w:val="00FD6A7D"/>
    <w:rsid w:val="00FE1106"/>
    <w:rsid w:val="00FE39A5"/>
    <w:rsid w:val="00FE675C"/>
    <w:rsid w:val="00FE6761"/>
    <w:rsid w:val="00FE753F"/>
    <w:rsid w:val="00FF11E0"/>
    <w:rsid w:val="00FF35F5"/>
    <w:rsid w:val="00FF4810"/>
    <w:rsid w:val="00FF50DB"/>
    <w:rsid w:val="00FF5DB2"/>
    <w:rsid w:val="00FF63C2"/>
    <w:rsid w:val="00FF64FC"/>
    <w:rsid w:val="12B437D6"/>
    <w:rsid w:val="163C8172"/>
    <w:rsid w:val="1CB9A271"/>
    <w:rsid w:val="27B82860"/>
    <w:rsid w:val="2DFDC2DD"/>
    <w:rsid w:val="40AB7D04"/>
    <w:rsid w:val="42C2A66A"/>
    <w:rsid w:val="44F16681"/>
    <w:rsid w:val="55E1FBC8"/>
    <w:rsid w:val="60169A51"/>
    <w:rsid w:val="61A804E2"/>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255A74"/>
  <w15:chartTrackingRefBased/>
  <w15:docId w15:val="{218021D1-2159-4A66-ACC0-47B235B9A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270"/>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rsid w:val="009B6D85"/>
    <w:rPr>
      <w:rFonts w:eastAsiaTheme="majorEastAsia" w:cstheme="majorBidi"/>
      <w:color w:val="0F4761" w:themeColor="accent1" w:themeShade="BF"/>
    </w:rPr>
  </w:style>
  <w:style w:type="character" w:customStyle="1" w:styleId="Ttulo6Car">
    <w:name w:val="Título 6 Car"/>
    <w:basedOn w:val="Fuentedeprrafopredeter"/>
    <w:link w:val="Ttulo6"/>
    <w:rsid w:val="009B6D85"/>
    <w:rPr>
      <w:rFonts w:eastAsiaTheme="majorEastAsia" w:cstheme="majorBidi"/>
      <w:i/>
      <w:iCs/>
      <w:color w:val="595959" w:themeColor="text1" w:themeTint="A6"/>
    </w:rPr>
  </w:style>
  <w:style w:type="character" w:customStyle="1" w:styleId="Ttulo7Car">
    <w:name w:val="Título 7 Car"/>
    <w:basedOn w:val="Fuentedeprrafopredeter"/>
    <w:link w:val="Ttulo7"/>
    <w:rsid w:val="009B6D85"/>
    <w:rPr>
      <w:rFonts w:eastAsiaTheme="majorEastAsia" w:cstheme="majorBidi"/>
      <w:color w:val="595959" w:themeColor="text1" w:themeTint="A6"/>
    </w:rPr>
  </w:style>
  <w:style w:type="character" w:customStyle="1" w:styleId="Ttulo8Car">
    <w:name w:val="Título 8 Car"/>
    <w:basedOn w:val="Fuentedeprrafopredeter"/>
    <w:link w:val="Ttulo8"/>
    <w:rsid w:val="009B6D85"/>
    <w:rPr>
      <w:rFonts w:eastAsiaTheme="majorEastAsia" w:cstheme="majorBidi"/>
      <w:i/>
      <w:iCs/>
      <w:color w:val="272727" w:themeColor="text1" w:themeTint="D8"/>
    </w:rPr>
  </w:style>
  <w:style w:type="character" w:customStyle="1" w:styleId="Ttulo9Car">
    <w:name w:val="Título 9 Car"/>
    <w:basedOn w:val="Fuentedeprrafopredeter"/>
    <w:link w:val="Ttulo9"/>
    <w:rsid w:val="009B6D85"/>
    <w:rPr>
      <w:rFonts w:eastAsiaTheme="majorEastAsia" w:cstheme="majorBidi"/>
      <w:color w:val="272727" w:themeColor="text1" w:themeTint="D8"/>
    </w:rPr>
  </w:style>
  <w:style w:type="paragraph" w:styleId="Ttulo">
    <w:name w:val="Title"/>
    <w:basedOn w:val="Normal"/>
    <w:next w:val="Normal"/>
    <w:link w:val="TtuloCar"/>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link w:val="PrrafodelistaCar"/>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iPriority w:val="99"/>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rsid w:val="00057BF6"/>
  </w:style>
  <w:style w:type="numbering" w:customStyle="1" w:styleId="Sinlista1">
    <w:name w:val="Sin lista1"/>
    <w:next w:val="Sinlista"/>
    <w:uiPriority w:val="99"/>
    <w:semiHidden/>
    <w:unhideWhenUsed/>
    <w:rsid w:val="004362B9"/>
  </w:style>
  <w:style w:type="paragraph" w:styleId="Textoindependiente">
    <w:name w:val="Body Text"/>
    <w:basedOn w:val="Normal"/>
    <w:link w:val="TextoindependienteCar"/>
    <w:rsid w:val="004362B9"/>
    <w:pPr>
      <w:spacing w:after="0" w:line="240" w:lineRule="auto"/>
      <w:jc w:val="both"/>
    </w:pPr>
    <w:rPr>
      <w:rFonts w:ascii="Arial" w:eastAsia="Times New Roman" w:hAnsi="Arial" w:cs="Times New Roman"/>
      <w:kern w:val="0"/>
      <w:sz w:val="24"/>
      <w:szCs w:val="20"/>
      <w:lang w:eastAsia="es-ES"/>
      <w14:ligatures w14:val="none"/>
    </w:rPr>
  </w:style>
  <w:style w:type="character" w:customStyle="1" w:styleId="TextoindependienteCar">
    <w:name w:val="Texto independiente Car"/>
    <w:basedOn w:val="Fuentedeprrafopredeter"/>
    <w:link w:val="Textoindependiente"/>
    <w:rsid w:val="004362B9"/>
    <w:rPr>
      <w:rFonts w:ascii="Arial" w:eastAsia="Times New Roman" w:hAnsi="Arial" w:cs="Times New Roman"/>
      <w:kern w:val="0"/>
      <w:sz w:val="24"/>
      <w:szCs w:val="20"/>
      <w:lang w:eastAsia="es-ES"/>
      <w14:ligatures w14:val="none"/>
    </w:rPr>
  </w:style>
  <w:style w:type="character" w:styleId="Nmerodepgina">
    <w:name w:val="page number"/>
    <w:basedOn w:val="Fuentedeprrafopredeter"/>
    <w:rsid w:val="004362B9"/>
  </w:style>
  <w:style w:type="paragraph" w:styleId="Textonotapie">
    <w:name w:val="footnote text"/>
    <w:basedOn w:val="Normal"/>
    <w:link w:val="TextonotapieCar"/>
    <w:uiPriority w:val="99"/>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uiPriority w:val="99"/>
    <w:rsid w:val="004362B9"/>
    <w:rPr>
      <w:rFonts w:ascii="Times New Roman" w:eastAsia="Times New Roman" w:hAnsi="Times New Roman" w:cs="Times New Roman"/>
      <w:kern w:val="0"/>
      <w:sz w:val="20"/>
      <w:szCs w:val="20"/>
      <w:lang w:val="es-ES" w:eastAsia="es-ES"/>
      <w14:ligatures w14:val="none"/>
    </w:rPr>
  </w:style>
  <w:style w:type="character" w:styleId="Refdenotaalpie">
    <w:name w:val="footnote reference"/>
    <w:basedOn w:val="Fuentedeprrafopredeter"/>
    <w:uiPriority w:val="99"/>
    <w:rsid w:val="004362B9"/>
    <w:rPr>
      <w:vertAlign w:val="superscript"/>
    </w:rPr>
  </w:style>
  <w:style w:type="character" w:styleId="Refdecomentario">
    <w:name w:val="annotation reference"/>
    <w:basedOn w:val="Fuentedeprrafopredeter"/>
    <w:rsid w:val="004362B9"/>
    <w:rPr>
      <w:sz w:val="16"/>
      <w:szCs w:val="16"/>
    </w:rPr>
  </w:style>
  <w:style w:type="paragraph" w:styleId="Textocomentario">
    <w:name w:val="annotation text"/>
    <w:basedOn w:val="Normal"/>
    <w:link w:val="Textocomentario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rsid w:val="004362B9"/>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4362B9"/>
    <w:rPr>
      <w:b/>
      <w:bCs/>
    </w:rPr>
  </w:style>
  <w:style w:type="character" w:customStyle="1" w:styleId="AsuntodelcomentarioCar">
    <w:name w:val="Asunto del comentario Car"/>
    <w:basedOn w:val="TextocomentarioCar"/>
    <w:link w:val="Asuntodelcomentario"/>
    <w:rsid w:val="004362B9"/>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rsid w:val="004362B9"/>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rsid w:val="004362B9"/>
    <w:rPr>
      <w:rFonts w:ascii="Tahoma" w:eastAsia="Times New Roman" w:hAnsi="Tahoma" w:cs="Tahoma"/>
      <w:kern w:val="0"/>
      <w:sz w:val="16"/>
      <w:szCs w:val="16"/>
      <w:lang w:val="es-ES" w:eastAsia="es-ES"/>
      <w14:ligatures w14:val="none"/>
    </w:rPr>
  </w:style>
  <w:style w:type="paragraph" w:customStyle="1" w:styleId="Default">
    <w:name w:val="Default"/>
    <w:rsid w:val="004362B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Sinespaciado">
    <w:name w:val="No Spacing"/>
    <w:uiPriority w:val="1"/>
    <w:qFormat/>
    <w:rsid w:val="004362B9"/>
    <w:pPr>
      <w:spacing w:after="0" w:line="240" w:lineRule="auto"/>
    </w:pPr>
    <w:rPr>
      <w:rFonts w:ascii="Times New Roman" w:eastAsia="Times New Roman" w:hAnsi="Times New Roman" w:cs="Times New Roman"/>
      <w:kern w:val="0"/>
      <w:sz w:val="20"/>
      <w:szCs w:val="20"/>
      <w:lang w:val="es-ES" w:eastAsia="es-CO"/>
      <w14:ligatures w14:val="none"/>
    </w:rPr>
  </w:style>
  <w:style w:type="numbering" w:customStyle="1" w:styleId="Estilo1">
    <w:name w:val="Estilo1"/>
    <w:rsid w:val="004362B9"/>
    <w:pPr>
      <w:numPr>
        <w:numId w:val="1"/>
      </w:numPr>
    </w:pPr>
  </w:style>
  <w:style w:type="paragraph" w:styleId="Lista">
    <w:name w:val="List"/>
    <w:basedOn w:val="Normal"/>
    <w:rsid w:val="004362B9"/>
    <w:pPr>
      <w:spacing w:after="0" w:line="240" w:lineRule="auto"/>
      <w:ind w:left="283" w:hanging="283"/>
      <w:contextualSpacing/>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rsid w:val="004362B9"/>
    <w:pPr>
      <w:numPr>
        <w:numId w:val="2"/>
      </w:numPr>
      <w:spacing w:after="0" w:line="240" w:lineRule="auto"/>
      <w:contextualSpacing/>
    </w:pPr>
    <w:rPr>
      <w:rFonts w:ascii="Times New Roman" w:eastAsia="Times New Roman" w:hAnsi="Times New Roman" w:cs="Times New Roman"/>
      <w:kern w:val="0"/>
      <w:sz w:val="20"/>
      <w:szCs w:val="20"/>
      <w:lang w:val="es-ES" w:eastAsia="es-ES"/>
      <w14:ligatures w14:val="none"/>
    </w:rPr>
  </w:style>
  <w:style w:type="paragraph" w:styleId="Continuarlista">
    <w:name w:val="List Continue"/>
    <w:basedOn w:val="Normal"/>
    <w:rsid w:val="004362B9"/>
    <w:pPr>
      <w:spacing w:after="120" w:line="240" w:lineRule="auto"/>
      <w:ind w:left="283"/>
      <w:contextualSpacing/>
    </w:pPr>
    <w:rPr>
      <w:rFonts w:ascii="Times New Roman" w:eastAsia="Times New Roman" w:hAnsi="Times New Roman" w:cs="Times New Roman"/>
      <w:kern w:val="0"/>
      <w:sz w:val="20"/>
      <w:szCs w:val="20"/>
      <w:lang w:val="es-ES" w:eastAsia="es-ES"/>
      <w14:ligatures w14:val="none"/>
    </w:rPr>
  </w:style>
  <w:style w:type="paragraph" w:styleId="Continuarlista2">
    <w:name w:val="List Continue 2"/>
    <w:basedOn w:val="Normal"/>
    <w:rsid w:val="004362B9"/>
    <w:pPr>
      <w:spacing w:after="120" w:line="240" w:lineRule="auto"/>
      <w:ind w:left="566"/>
      <w:contextualSpacing/>
    </w:pPr>
    <w:rPr>
      <w:rFonts w:ascii="Times New Roman" w:eastAsia="Times New Roman" w:hAnsi="Times New Roman" w:cs="Times New Roman"/>
      <w:kern w:val="0"/>
      <w:sz w:val="20"/>
      <w:szCs w:val="20"/>
      <w:lang w:val="es-ES" w:eastAsia="es-ES"/>
      <w14:ligatures w14:val="none"/>
    </w:rPr>
  </w:style>
  <w:style w:type="paragraph" w:styleId="Sangradetextonormal">
    <w:name w:val="Body Text Indent"/>
    <w:basedOn w:val="Normal"/>
    <w:link w:val="SangradetextonormalCar"/>
    <w:rsid w:val="004362B9"/>
    <w:pPr>
      <w:spacing w:after="120" w:line="240" w:lineRule="auto"/>
      <w:ind w:left="283"/>
    </w:pPr>
    <w:rPr>
      <w:rFonts w:ascii="Times New Roman" w:eastAsia="Times New Roman" w:hAnsi="Times New Roman" w:cs="Times New Roman"/>
      <w:kern w:val="0"/>
      <w:sz w:val="20"/>
      <w:szCs w:val="20"/>
      <w:lang w:val="es-ES" w:eastAsia="es-ES"/>
      <w14:ligatures w14:val="none"/>
    </w:rPr>
  </w:style>
  <w:style w:type="character" w:customStyle="1" w:styleId="SangradetextonormalCar">
    <w:name w:val="Sangría de texto normal Car"/>
    <w:basedOn w:val="Fuentedeprrafopredeter"/>
    <w:link w:val="Sangradetextonormal"/>
    <w:rsid w:val="004362B9"/>
    <w:rPr>
      <w:rFonts w:ascii="Times New Roman" w:eastAsia="Times New Roman" w:hAnsi="Times New Roman" w:cs="Times New Roman"/>
      <w:kern w:val="0"/>
      <w:sz w:val="20"/>
      <w:szCs w:val="20"/>
      <w:lang w:val="es-ES" w:eastAsia="es-ES"/>
      <w14:ligatures w14:val="none"/>
    </w:rPr>
  </w:style>
  <w:style w:type="paragraph" w:styleId="Textoindependienteprimerasangra2">
    <w:name w:val="Body Text First Indent 2"/>
    <w:basedOn w:val="Sangradetextonormal"/>
    <w:link w:val="Textoindependienteprimerasangra2Car"/>
    <w:rsid w:val="004362B9"/>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362B9"/>
    <w:rPr>
      <w:rFonts w:ascii="Times New Roman" w:eastAsia="Times New Roman" w:hAnsi="Times New Roman" w:cs="Times New Roman"/>
      <w:kern w:val="0"/>
      <w:sz w:val="20"/>
      <w:szCs w:val="20"/>
      <w:lang w:val="es-ES" w:eastAsia="es-ES"/>
      <w14:ligatures w14:val="none"/>
    </w:rPr>
  </w:style>
  <w:style w:type="table" w:styleId="Tablaconcuadrcula">
    <w:name w:val="Table Grid"/>
    <w:basedOn w:val="Tablanormal"/>
    <w:rsid w:val="004362B9"/>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
    <w:name w:val="Cuerpo del texto_"/>
    <w:basedOn w:val="Fuentedeprrafopredeter"/>
    <w:link w:val="Cuerpodeltexto0"/>
    <w:locked/>
    <w:rsid w:val="004362B9"/>
    <w:rPr>
      <w:rFonts w:ascii="Calibri" w:eastAsia="Calibri" w:hAnsi="Calibri" w:cs="Calibri"/>
      <w:spacing w:val="2"/>
      <w:sz w:val="19"/>
      <w:szCs w:val="19"/>
      <w:shd w:val="clear" w:color="auto" w:fill="FFFFFF"/>
    </w:rPr>
  </w:style>
  <w:style w:type="paragraph" w:customStyle="1" w:styleId="Cuerpodeltexto0">
    <w:name w:val="Cuerpo del texto"/>
    <w:basedOn w:val="Normal"/>
    <w:link w:val="Cuerpodeltexto"/>
    <w:rsid w:val="004362B9"/>
    <w:pPr>
      <w:widowControl w:val="0"/>
      <w:shd w:val="clear" w:color="auto" w:fill="FFFFFF"/>
      <w:spacing w:before="360" w:after="240" w:line="269" w:lineRule="exact"/>
      <w:ind w:hanging="360"/>
      <w:jc w:val="both"/>
    </w:pPr>
    <w:rPr>
      <w:rFonts w:ascii="Calibri" w:eastAsia="Calibri" w:hAnsi="Calibri" w:cs="Calibri"/>
      <w:spacing w:val="2"/>
      <w:sz w:val="19"/>
      <w:szCs w:val="19"/>
    </w:rPr>
  </w:style>
  <w:style w:type="paragraph" w:styleId="Revisin">
    <w:name w:val="Revision"/>
    <w:hidden/>
    <w:uiPriority w:val="99"/>
    <w:semiHidden/>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NormalWeb">
    <w:name w:val="Normal (Web)"/>
    <w:basedOn w:val="Normal"/>
    <w:uiPriority w:val="99"/>
    <w:unhideWhenUsed/>
    <w:rsid w:val="004362B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50">
    <w:name w:val="Título #5_"/>
    <w:basedOn w:val="Fuentedeprrafopredeter"/>
    <w:link w:val="Ttulo51"/>
    <w:rsid w:val="004362B9"/>
    <w:rPr>
      <w:rFonts w:ascii="Calibri" w:eastAsia="Calibri" w:hAnsi="Calibri" w:cs="Calibri"/>
      <w:b/>
      <w:bCs/>
      <w:spacing w:val="1"/>
      <w:shd w:val="clear" w:color="auto" w:fill="FFFFFF"/>
    </w:rPr>
  </w:style>
  <w:style w:type="paragraph" w:customStyle="1" w:styleId="Ttulo51">
    <w:name w:val="Título #5"/>
    <w:basedOn w:val="Normal"/>
    <w:link w:val="Ttulo50"/>
    <w:rsid w:val="004362B9"/>
    <w:pPr>
      <w:widowControl w:val="0"/>
      <w:shd w:val="clear" w:color="auto" w:fill="FFFFFF"/>
      <w:spacing w:before="240" w:after="240" w:line="0" w:lineRule="atLeast"/>
      <w:ind w:hanging="360"/>
      <w:jc w:val="both"/>
      <w:outlineLvl w:val="4"/>
    </w:pPr>
    <w:rPr>
      <w:rFonts w:ascii="Calibri" w:eastAsia="Calibri" w:hAnsi="Calibri" w:cs="Calibri"/>
      <w:b/>
      <w:bCs/>
      <w:spacing w:val="1"/>
    </w:rPr>
  </w:style>
  <w:style w:type="paragraph" w:customStyle="1" w:styleId="CM913">
    <w:name w:val="CM9+13"/>
    <w:basedOn w:val="Default"/>
    <w:next w:val="Default"/>
    <w:uiPriority w:val="99"/>
    <w:rsid w:val="004362B9"/>
    <w:pPr>
      <w:spacing w:line="278" w:lineRule="atLeast"/>
    </w:pPr>
    <w:rPr>
      <w:rFonts w:ascii="Arial" w:hAnsi="Arial" w:cs="Arial"/>
      <w:color w:val="auto"/>
    </w:rPr>
  </w:style>
  <w:style w:type="character" w:styleId="Hipervnculo">
    <w:name w:val="Hyperlink"/>
    <w:basedOn w:val="Fuentedeprrafopredeter"/>
    <w:uiPriority w:val="99"/>
    <w:unhideWhenUsed/>
    <w:rsid w:val="004362B9"/>
    <w:rPr>
      <w:color w:val="0000FF"/>
      <w:u w:val="single"/>
    </w:rPr>
  </w:style>
  <w:style w:type="character" w:customStyle="1" w:styleId="il">
    <w:name w:val="il"/>
    <w:basedOn w:val="Fuentedeprrafopredeter"/>
    <w:rsid w:val="004362B9"/>
  </w:style>
  <w:style w:type="paragraph" w:styleId="Textoindependiente2">
    <w:name w:val="Body Text 2"/>
    <w:basedOn w:val="Normal"/>
    <w:link w:val="Textoindependiente2Car"/>
    <w:unhideWhenUsed/>
    <w:rsid w:val="004362B9"/>
    <w:pPr>
      <w:spacing w:after="120" w:line="480" w:lineRule="auto"/>
    </w:pPr>
    <w:rPr>
      <w:rFonts w:ascii="Times New Roman" w:eastAsia="Times New Roman" w:hAnsi="Times New Roman" w:cs="Times New Roman"/>
      <w:kern w:val="0"/>
      <w:sz w:val="20"/>
      <w:szCs w:val="20"/>
      <w:lang w:val="es-ES" w:eastAsia="es-ES"/>
      <w14:ligatures w14:val="none"/>
    </w:rPr>
  </w:style>
  <w:style w:type="character" w:customStyle="1" w:styleId="Textoindependiente2Car">
    <w:name w:val="Texto independiente 2 Car"/>
    <w:basedOn w:val="Fuentedeprrafopredeter"/>
    <w:link w:val="Textoindependiente2"/>
    <w:rsid w:val="004362B9"/>
    <w:rPr>
      <w:rFonts w:ascii="Times New Roman" w:eastAsia="Times New Roman" w:hAnsi="Times New Roman" w:cs="Times New Roman"/>
      <w:kern w:val="0"/>
      <w:sz w:val="20"/>
      <w:szCs w:val="20"/>
      <w:lang w:val="es-ES" w:eastAsia="es-ES"/>
      <w14:ligatures w14:val="none"/>
    </w:rPr>
  </w:style>
  <w:style w:type="paragraph" w:customStyle="1" w:styleId="CM129">
    <w:name w:val="CM129"/>
    <w:basedOn w:val="Default"/>
    <w:next w:val="Default"/>
    <w:uiPriority w:val="99"/>
    <w:rsid w:val="004362B9"/>
    <w:rPr>
      <w:rFonts w:ascii="Arial" w:hAnsi="Arial" w:cs="Arial"/>
      <w:color w:val="auto"/>
    </w:rPr>
  </w:style>
  <w:style w:type="paragraph" w:customStyle="1" w:styleId="toa">
    <w:name w:val="toa"/>
    <w:basedOn w:val="Normal"/>
    <w:rsid w:val="000F763B"/>
    <w:pPr>
      <w:tabs>
        <w:tab w:val="left" w:pos="9000"/>
        <w:tab w:val="right" w:pos="9360"/>
      </w:tabs>
      <w:suppressAutoHyphens/>
      <w:spacing w:after="0" w:line="240" w:lineRule="auto"/>
    </w:pPr>
    <w:rPr>
      <w:rFonts w:ascii="Courier" w:eastAsia="Times New Roman" w:hAnsi="Courier" w:cs="Times New Roman"/>
      <w:kern w:val="0"/>
      <w:sz w:val="24"/>
      <w:szCs w:val="20"/>
      <w:lang w:val="en-US" w:eastAsia="es-ES"/>
      <w14:ligatures w14:val="none"/>
    </w:rPr>
  </w:style>
  <w:style w:type="paragraph" w:customStyle="1" w:styleId="Titulo">
    <w:name w:val="Titulo"/>
    <w:basedOn w:val="Textoindependiente2"/>
    <w:link w:val="TituloCar"/>
    <w:rsid w:val="000F763B"/>
    <w:pPr>
      <w:numPr>
        <w:ilvl w:val="1"/>
        <w:numId w:val="3"/>
      </w:numPr>
      <w:spacing w:after="0" w:line="240" w:lineRule="auto"/>
      <w:jc w:val="both"/>
    </w:pPr>
    <w:rPr>
      <w:rFonts w:ascii="Arial" w:hAnsi="Arial" w:cs="Arial"/>
      <w:b/>
      <w:bCs/>
      <w:sz w:val="24"/>
      <w:szCs w:val="24"/>
    </w:rPr>
  </w:style>
  <w:style w:type="paragraph" w:customStyle="1" w:styleId="Titulo2">
    <w:name w:val="Titulo 2"/>
    <w:basedOn w:val="Titulo"/>
    <w:rsid w:val="000F763B"/>
    <w:pPr>
      <w:numPr>
        <w:ilvl w:val="0"/>
        <w:numId w:val="0"/>
      </w:numPr>
    </w:pPr>
  </w:style>
  <w:style w:type="character" w:customStyle="1" w:styleId="Titulo3Car">
    <w:name w:val="Titulo 3 Car"/>
    <w:basedOn w:val="Fuentedeprrafopredeter"/>
    <w:link w:val="Titulo3"/>
    <w:rsid w:val="000F763B"/>
    <w:rPr>
      <w:rFonts w:ascii="Arial" w:hAnsi="Arial" w:cs="Arial"/>
      <w:b/>
      <w:bCs/>
      <w:sz w:val="24"/>
      <w:szCs w:val="24"/>
      <w:lang w:val="es-ES" w:eastAsia="es-ES"/>
    </w:rPr>
  </w:style>
  <w:style w:type="paragraph" w:customStyle="1" w:styleId="BodyText21">
    <w:name w:val="Body Text 21"/>
    <w:basedOn w:val="Normal"/>
    <w:rsid w:val="000F763B"/>
    <w:pPr>
      <w:tabs>
        <w:tab w:val="left" w:pos="-720"/>
      </w:tabs>
      <w:spacing w:after="0" w:line="240" w:lineRule="auto"/>
      <w:jc w:val="both"/>
    </w:pPr>
    <w:rPr>
      <w:rFonts w:ascii="Arial" w:eastAsia="Times New Roman" w:hAnsi="Arial" w:cs="Times New Roman"/>
      <w:spacing w:val="20"/>
      <w:kern w:val="0"/>
      <w:sz w:val="16"/>
      <w:szCs w:val="20"/>
      <w:lang w:eastAsia="es-CO"/>
      <w14:ligatures w14:val="none"/>
    </w:rPr>
  </w:style>
  <w:style w:type="paragraph" w:styleId="Sangra3detindependiente">
    <w:name w:val="Body Text Indent 3"/>
    <w:basedOn w:val="Normal"/>
    <w:link w:val="Sangra3detindependienteCar"/>
    <w:unhideWhenUsed/>
    <w:rsid w:val="000F763B"/>
    <w:pPr>
      <w:spacing w:after="120" w:line="240" w:lineRule="auto"/>
      <w:ind w:left="283"/>
    </w:pPr>
    <w:rPr>
      <w:rFonts w:ascii="Courier" w:eastAsia="Times New Roman" w:hAnsi="Courier" w:cs="Times New Roman"/>
      <w:kern w:val="0"/>
      <w:sz w:val="16"/>
      <w:szCs w:val="16"/>
      <w:lang w:eastAsia="es-ES"/>
      <w14:ligatures w14:val="none"/>
    </w:rPr>
  </w:style>
  <w:style w:type="character" w:customStyle="1" w:styleId="Sangra3detindependienteCar">
    <w:name w:val="Sangría 3 de t. independiente Car"/>
    <w:basedOn w:val="Fuentedeprrafopredeter"/>
    <w:link w:val="Sangra3detindependiente"/>
    <w:rsid w:val="000F763B"/>
    <w:rPr>
      <w:rFonts w:ascii="Courier" w:eastAsia="Times New Roman" w:hAnsi="Courier" w:cs="Times New Roman"/>
      <w:kern w:val="0"/>
      <w:sz w:val="16"/>
      <w:szCs w:val="16"/>
      <w:lang w:eastAsia="es-ES"/>
      <w14:ligatures w14:val="none"/>
    </w:rPr>
  </w:style>
  <w:style w:type="paragraph" w:styleId="Textoindependiente3">
    <w:name w:val="Body Text 3"/>
    <w:basedOn w:val="Normal"/>
    <w:link w:val="Textoindependiente3Car"/>
    <w:rsid w:val="000F763B"/>
    <w:pPr>
      <w:pBdr>
        <w:left w:val="single" w:sz="4" w:space="4" w:color="auto"/>
      </w:pBdr>
      <w:suppressAutoHyphens/>
      <w:spacing w:after="0" w:line="240" w:lineRule="auto"/>
      <w:ind w:right="-136"/>
      <w:jc w:val="both"/>
    </w:pPr>
    <w:rPr>
      <w:rFonts w:ascii="Arial" w:eastAsia="Times New Roman" w:hAnsi="Arial" w:cs="Times New Roman"/>
      <w:strike/>
      <w:spacing w:val="20"/>
      <w:kern w:val="0"/>
      <w:sz w:val="16"/>
      <w:szCs w:val="20"/>
      <w:lang w:eastAsia="es-ES"/>
      <w14:ligatures w14:val="none"/>
    </w:rPr>
  </w:style>
  <w:style w:type="character" w:customStyle="1" w:styleId="Textoindependiente3Car">
    <w:name w:val="Texto independiente 3 Car"/>
    <w:basedOn w:val="Fuentedeprrafopredeter"/>
    <w:link w:val="Textoindependiente3"/>
    <w:rsid w:val="000F763B"/>
    <w:rPr>
      <w:rFonts w:ascii="Arial" w:eastAsia="Times New Roman" w:hAnsi="Arial" w:cs="Times New Roman"/>
      <w:strike/>
      <w:spacing w:val="20"/>
      <w:kern w:val="0"/>
      <w:sz w:val="16"/>
      <w:szCs w:val="20"/>
      <w:lang w:eastAsia="es-ES"/>
      <w14:ligatures w14:val="none"/>
    </w:rPr>
  </w:style>
  <w:style w:type="paragraph" w:styleId="Descripcin">
    <w:name w:val="caption"/>
    <w:basedOn w:val="Normal"/>
    <w:next w:val="Normal"/>
    <w:unhideWhenUsed/>
    <w:qFormat/>
    <w:rsid w:val="000F763B"/>
    <w:pPr>
      <w:spacing w:after="0" w:line="240" w:lineRule="auto"/>
    </w:pPr>
    <w:rPr>
      <w:rFonts w:ascii="Courier" w:eastAsia="Times New Roman" w:hAnsi="Courier" w:cs="Times New Roman"/>
      <w:b/>
      <w:bCs/>
      <w:kern w:val="0"/>
      <w:sz w:val="20"/>
      <w:szCs w:val="20"/>
      <w:lang w:eastAsia="es-ES"/>
      <w14:ligatures w14:val="none"/>
    </w:rPr>
  </w:style>
  <w:style w:type="paragraph" w:customStyle="1" w:styleId="Titulo3">
    <w:name w:val="Titulo 3"/>
    <w:basedOn w:val="Titulo"/>
    <w:link w:val="Titulo3Car"/>
    <w:rsid w:val="000F763B"/>
    <w:pPr>
      <w:numPr>
        <w:numId w:val="4"/>
      </w:numPr>
      <w:tabs>
        <w:tab w:val="clear" w:pos="1080"/>
        <w:tab w:val="num" w:pos="720"/>
      </w:tabs>
      <w:ind w:left="720"/>
    </w:pPr>
    <w:rPr>
      <w:rFonts w:eastAsiaTheme="minorHAnsi"/>
      <w:kern w:val="2"/>
      <w14:ligatures w14:val="standardContextual"/>
    </w:rPr>
  </w:style>
  <w:style w:type="character" w:customStyle="1" w:styleId="TituloCar">
    <w:name w:val="Titulo Car"/>
    <w:link w:val="Titulo"/>
    <w:rsid w:val="000F763B"/>
    <w:rPr>
      <w:rFonts w:ascii="Arial" w:eastAsia="Times New Roman" w:hAnsi="Arial" w:cs="Arial"/>
      <w:b/>
      <w:bCs/>
      <w:kern w:val="0"/>
      <w:sz w:val="24"/>
      <w:szCs w:val="24"/>
      <w:lang w:val="es-ES" w:eastAsia="es-ES"/>
      <w14:ligatures w14:val="none"/>
    </w:rPr>
  </w:style>
  <w:style w:type="paragraph" w:styleId="Textonotaalfinal">
    <w:name w:val="endnote text"/>
    <w:basedOn w:val="Normal"/>
    <w:link w:val="TextonotaalfinalCar"/>
    <w:uiPriority w:val="99"/>
    <w:unhideWhenUsed/>
    <w:rsid w:val="000F763B"/>
    <w:pPr>
      <w:spacing w:after="0" w:line="240" w:lineRule="auto"/>
    </w:pPr>
    <w:rPr>
      <w:rFonts w:ascii="Courier" w:eastAsia="Times New Roman" w:hAnsi="Courier" w:cs="Times New Roman"/>
      <w:kern w:val="0"/>
      <w:sz w:val="20"/>
      <w:szCs w:val="20"/>
      <w:lang w:eastAsia="es-ES"/>
      <w14:ligatures w14:val="none"/>
    </w:rPr>
  </w:style>
  <w:style w:type="character" w:customStyle="1" w:styleId="TextonotaalfinalCar">
    <w:name w:val="Texto nota al final Car"/>
    <w:basedOn w:val="Fuentedeprrafopredeter"/>
    <w:link w:val="Textonotaalfinal"/>
    <w:uiPriority w:val="99"/>
    <w:rsid w:val="000F763B"/>
    <w:rPr>
      <w:rFonts w:ascii="Courier" w:eastAsia="Times New Roman" w:hAnsi="Courier" w:cs="Times New Roman"/>
      <w:kern w:val="0"/>
      <w:sz w:val="20"/>
      <w:szCs w:val="20"/>
      <w:lang w:eastAsia="es-ES"/>
      <w14:ligatures w14:val="none"/>
    </w:rPr>
  </w:style>
  <w:style w:type="character" w:styleId="Refdenotaalfinal">
    <w:name w:val="endnote reference"/>
    <w:basedOn w:val="Fuentedeprrafopredeter"/>
    <w:uiPriority w:val="99"/>
    <w:unhideWhenUsed/>
    <w:rsid w:val="000F763B"/>
    <w:rPr>
      <w:vertAlign w:val="superscript"/>
    </w:rPr>
  </w:style>
  <w:style w:type="character" w:customStyle="1" w:styleId="PrrafodelistaCar">
    <w:name w:val="Párrafo de lista Car"/>
    <w:aliases w:val="EY EPM - Lista Car"/>
    <w:link w:val="Prrafodelista"/>
    <w:uiPriority w:val="34"/>
    <w:locked/>
    <w:rsid w:val="000F763B"/>
  </w:style>
  <w:style w:type="paragraph" w:customStyle="1" w:styleId="paragraph">
    <w:name w:val="paragraph"/>
    <w:basedOn w:val="Normal"/>
    <w:rsid w:val="000F763B"/>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normaltextrun">
    <w:name w:val="normaltextrun"/>
    <w:basedOn w:val="Fuentedeprrafopredeter"/>
    <w:rsid w:val="000F763B"/>
  </w:style>
  <w:style w:type="character" w:customStyle="1" w:styleId="eop">
    <w:name w:val="eop"/>
    <w:basedOn w:val="Fuentedeprrafopredeter"/>
    <w:rsid w:val="000F763B"/>
  </w:style>
  <w:style w:type="character" w:styleId="Textodelmarcadordeposicin">
    <w:name w:val="Placeholder Text"/>
    <w:basedOn w:val="Fuentedeprrafopredeter"/>
    <w:uiPriority w:val="99"/>
    <w:semiHidden/>
    <w:rsid w:val="000F763B"/>
    <w:rPr>
      <w:color w:val="808080"/>
    </w:rPr>
  </w:style>
  <w:style w:type="paragraph" w:customStyle="1" w:styleId="Normal9pt">
    <w:name w:val="Normal + 9 pt"/>
    <w:aliases w:val="Sin Expandido / Comprimido"/>
    <w:basedOn w:val="Textoindependiente"/>
    <w:rsid w:val="000F763B"/>
    <w:rPr>
      <w:rFonts w:cs="Arial"/>
      <w:sz w:val="18"/>
      <w:szCs w:val="18"/>
      <w:lang w:val="es-MX"/>
    </w:rPr>
  </w:style>
  <w:style w:type="paragraph" w:customStyle="1" w:styleId="Texto">
    <w:name w:val="Texto"/>
    <w:basedOn w:val="Normal"/>
    <w:link w:val="TextoCar"/>
    <w:rsid w:val="000F763B"/>
    <w:pPr>
      <w:spacing w:after="101" w:line="216" w:lineRule="exact"/>
      <w:ind w:firstLine="288"/>
      <w:jc w:val="both"/>
    </w:pPr>
    <w:rPr>
      <w:rFonts w:ascii="Arial" w:eastAsia="Times New Roman" w:hAnsi="Arial" w:cs="Arial"/>
      <w:kern w:val="0"/>
      <w:sz w:val="18"/>
      <w:szCs w:val="20"/>
      <w:lang w:val="es-ES" w:eastAsia="es-ES"/>
      <w14:ligatures w14:val="none"/>
    </w:rPr>
  </w:style>
  <w:style w:type="character" w:customStyle="1" w:styleId="TextoCar">
    <w:name w:val="Texto Car"/>
    <w:link w:val="Texto"/>
    <w:rsid w:val="000F763B"/>
    <w:rPr>
      <w:rFonts w:ascii="Arial" w:eastAsia="Times New Roman" w:hAnsi="Arial" w:cs="Arial"/>
      <w:kern w:val="0"/>
      <w:sz w:val="18"/>
      <w:szCs w:val="20"/>
      <w:lang w:val="es-ES" w:eastAsia="es-ES"/>
      <w14:ligatures w14:val="none"/>
    </w:rPr>
  </w:style>
  <w:style w:type="paragraph" w:customStyle="1" w:styleId="INCISO">
    <w:name w:val="INCISO"/>
    <w:basedOn w:val="Normal"/>
    <w:rsid w:val="000F763B"/>
    <w:pPr>
      <w:spacing w:after="101" w:line="216" w:lineRule="exact"/>
      <w:ind w:left="1080" w:hanging="360"/>
      <w:jc w:val="both"/>
    </w:pPr>
    <w:rPr>
      <w:rFonts w:ascii="Arial" w:eastAsia="Times New Roman" w:hAnsi="Arial" w:cs="Arial"/>
      <w:kern w:val="0"/>
      <w:sz w:val="18"/>
      <w:szCs w:val="18"/>
      <w:lang w:val="es-ES" w:eastAsia="es-ES"/>
      <w14:ligatures w14:val="none"/>
    </w:rPr>
  </w:style>
  <w:style w:type="paragraph" w:customStyle="1" w:styleId="ROMANOS">
    <w:name w:val="ROMANOS"/>
    <w:basedOn w:val="Normal"/>
    <w:link w:val="ROMANOSCar"/>
    <w:rsid w:val="000F763B"/>
    <w:pPr>
      <w:tabs>
        <w:tab w:val="left" w:pos="720"/>
      </w:tabs>
      <w:spacing w:after="101" w:line="216" w:lineRule="exact"/>
      <w:ind w:left="720" w:hanging="432"/>
      <w:jc w:val="both"/>
    </w:pPr>
    <w:rPr>
      <w:rFonts w:ascii="Arial" w:eastAsia="Times New Roman" w:hAnsi="Arial" w:cs="Arial"/>
      <w:kern w:val="0"/>
      <w:sz w:val="18"/>
      <w:szCs w:val="18"/>
      <w:lang w:val="es-ES" w:eastAsia="es-ES"/>
      <w14:ligatures w14:val="none"/>
    </w:rPr>
  </w:style>
  <w:style w:type="character" w:customStyle="1" w:styleId="ROMANOSCar">
    <w:name w:val="ROMANOS Car"/>
    <w:link w:val="ROMANOS"/>
    <w:rsid w:val="000F763B"/>
    <w:rPr>
      <w:rFonts w:ascii="Arial" w:eastAsia="Times New Roman" w:hAnsi="Arial" w:cs="Arial"/>
      <w:kern w:val="0"/>
      <w:sz w:val="18"/>
      <w:szCs w:val="18"/>
      <w:lang w:val="es-ES" w:eastAsia="es-ES"/>
      <w14:ligatures w14:val="none"/>
    </w:rPr>
  </w:style>
  <w:style w:type="character" w:styleId="Mencinsinresolver">
    <w:name w:val="Unresolved Mention"/>
    <w:basedOn w:val="Fuentedeprrafopredeter"/>
    <w:uiPriority w:val="99"/>
    <w:unhideWhenUsed/>
    <w:rsid w:val="000F763B"/>
    <w:rPr>
      <w:color w:val="605E5C"/>
      <w:shd w:val="clear" w:color="auto" w:fill="E1DFDD"/>
    </w:rPr>
  </w:style>
  <w:style w:type="character" w:styleId="Mencionar">
    <w:name w:val="Mention"/>
    <w:basedOn w:val="Fuentedeprrafopredeter"/>
    <w:uiPriority w:val="99"/>
    <w:unhideWhenUsed/>
    <w:rsid w:val="000F763B"/>
    <w:rPr>
      <w:color w:val="2B579A"/>
      <w:shd w:val="clear" w:color="auto" w:fill="E1DFDD"/>
    </w:rPr>
  </w:style>
  <w:style w:type="character" w:customStyle="1" w:styleId="UnresolvedMention1">
    <w:name w:val="Unresolved Mention1"/>
    <w:basedOn w:val="Fuentedeprrafopredeter"/>
    <w:uiPriority w:val="99"/>
    <w:unhideWhenUsed/>
    <w:rsid w:val="000F763B"/>
    <w:rPr>
      <w:color w:val="605E5C"/>
      <w:shd w:val="clear" w:color="auto" w:fill="E1DFDD"/>
    </w:rPr>
  </w:style>
  <w:style w:type="character" w:customStyle="1" w:styleId="Mention1">
    <w:name w:val="Mention1"/>
    <w:basedOn w:val="Fuentedeprrafopredeter"/>
    <w:uiPriority w:val="99"/>
    <w:unhideWhenUsed/>
    <w:rsid w:val="000F763B"/>
    <w:rPr>
      <w:color w:val="2B579A"/>
      <w:shd w:val="clear" w:color="auto" w:fill="E1DFDD"/>
    </w:rPr>
  </w:style>
  <w:style w:type="paragraph" w:styleId="HTMLconformatoprevio">
    <w:name w:val="HTML Preformatted"/>
    <w:basedOn w:val="Normal"/>
    <w:link w:val="HTMLconformatoprevioCar"/>
    <w:uiPriority w:val="99"/>
    <w:semiHidden/>
    <w:unhideWhenUsed/>
    <w:rsid w:val="000F7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es-CO"/>
      <w14:ligatures w14:val="none"/>
    </w:rPr>
  </w:style>
  <w:style w:type="character" w:customStyle="1" w:styleId="HTMLconformatoprevioCar">
    <w:name w:val="HTML con formato previo Car"/>
    <w:basedOn w:val="Fuentedeprrafopredeter"/>
    <w:link w:val="HTMLconformatoprevio"/>
    <w:uiPriority w:val="99"/>
    <w:semiHidden/>
    <w:rsid w:val="000F763B"/>
    <w:rPr>
      <w:rFonts w:ascii="Courier New" w:eastAsia="Times New Roman" w:hAnsi="Courier New" w:cs="Courier New"/>
      <w:kern w:val="0"/>
      <w:sz w:val="20"/>
      <w:szCs w:val="20"/>
      <w:lang w:eastAsia="es-CO"/>
      <w14:ligatures w14:val="none"/>
    </w:rPr>
  </w:style>
  <w:style w:type="character" w:customStyle="1" w:styleId="y2iqfc">
    <w:name w:val="y2iqfc"/>
    <w:basedOn w:val="Fuentedeprrafopredeter"/>
    <w:rsid w:val="000F763B"/>
  </w:style>
  <w:style w:type="character" w:customStyle="1" w:styleId="Mencinsinresolver1">
    <w:name w:val="Mención sin resolver1"/>
    <w:basedOn w:val="Fuentedeprrafopredeter"/>
    <w:uiPriority w:val="99"/>
    <w:unhideWhenUsed/>
    <w:rsid w:val="000F763B"/>
    <w:rPr>
      <w:color w:val="605E5C"/>
      <w:shd w:val="clear" w:color="auto" w:fill="E1DFDD"/>
    </w:rPr>
  </w:style>
  <w:style w:type="character" w:customStyle="1" w:styleId="Mencionar1">
    <w:name w:val="Mencionar1"/>
    <w:basedOn w:val="Fuentedeprrafopredeter"/>
    <w:uiPriority w:val="99"/>
    <w:unhideWhenUsed/>
    <w:rsid w:val="000F763B"/>
    <w:rPr>
      <w:color w:val="2B579A"/>
      <w:shd w:val="clear" w:color="auto" w:fill="E1DFDD"/>
    </w:rPr>
  </w:style>
  <w:style w:type="character" w:customStyle="1" w:styleId="Mencionar2">
    <w:name w:val="Mencionar2"/>
    <w:basedOn w:val="Fuentedeprrafopredeter"/>
    <w:uiPriority w:val="99"/>
    <w:unhideWhenUsed/>
    <w:rsid w:val="000F763B"/>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FF0E48-35D5-4BAC-889B-383B8F140AA7}">
  <ds:schemaRefs>
    <ds:schemaRef ds:uri="http://schemas.microsoft.com/office/2006/documentManagement/types"/>
    <ds:schemaRef ds:uri="http://schemas.microsoft.com/office/infopath/2007/PartnerControls"/>
    <ds:schemaRef ds:uri="http://www.w3.org/XML/1998/namespace"/>
    <ds:schemaRef ds:uri="http://schemas.microsoft.com/office/2006/metadata/properties"/>
    <ds:schemaRef ds:uri="http://purl.org/dc/terms/"/>
    <ds:schemaRef ds:uri="http://schemas.openxmlformats.org/package/2006/metadata/core-properties"/>
    <ds:schemaRef ds:uri="http://purl.org/dc/dcmitype/"/>
    <ds:schemaRef ds:uri="9056d983-1374-4724-9f8d-2ef5b64379db"/>
    <ds:schemaRef ds:uri="http://purl.org/dc/elements/1.1/"/>
  </ds:schemaRefs>
</ds:datastoreItem>
</file>

<file path=customXml/itemProps2.xml><?xml version="1.0" encoding="utf-8"?>
<ds:datastoreItem xmlns:ds="http://schemas.openxmlformats.org/officeDocument/2006/customXml" ds:itemID="{E1E93457-6B2F-4205-8A24-493864CE3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6A8418-7067-4784-9783-F914B5D5BB0B}">
  <ds:schemaRefs>
    <ds:schemaRef ds:uri="http://schemas.openxmlformats.org/officeDocument/2006/bibliography"/>
  </ds:schemaRefs>
</ds:datastoreItem>
</file>

<file path=customXml/itemProps4.xml><?xml version="1.0" encoding="utf-8"?>
<ds:datastoreItem xmlns:ds="http://schemas.openxmlformats.org/officeDocument/2006/customXml" ds:itemID="{36CD7826-EC9E-4AC0-82C0-213E5C0AE0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2025</TotalTime>
  <Pages>53</Pages>
  <Words>22600</Words>
  <Characters>122718</Characters>
  <Application>Microsoft Office Word</Application>
  <DocSecurity>0</DocSecurity>
  <Lines>3958</Lines>
  <Paragraphs>1772</Paragraphs>
  <ScaleCrop>false</ScaleCrop>
  <Company/>
  <LinksUpToDate>false</LinksUpToDate>
  <CharactersWithSpaces>143546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Sebastian Duran Mendez</cp:lastModifiedBy>
  <cp:revision>2058</cp:revision>
  <dcterms:created xsi:type="dcterms:W3CDTF">2025-01-18T10:31:00Z</dcterms:created>
  <dcterms:modified xsi:type="dcterms:W3CDTF">2026-04-13T17:35:00Z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89600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